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48FB0" w14:textId="46E56F48" w:rsidR="006055D0" w:rsidRPr="006055D0" w:rsidRDefault="00596065" w:rsidP="006055D0">
      <w:pPr>
        <w:widowControl w:val="0"/>
        <w:autoSpaceDE w:val="0"/>
        <w:autoSpaceDN w:val="0"/>
        <w:spacing w:before="2" w:after="1" w:line="240" w:lineRule="auto"/>
        <w:rPr>
          <w:rFonts w:ascii="Times New Roman" w:eastAsia="Times New Roman" w:hAnsi="Times New Roman" w:cs="Times New Roman"/>
          <w:sz w:val="13"/>
          <w:szCs w:val="24"/>
        </w:rPr>
      </w:pPr>
      <w:r w:rsidRPr="00596065">
        <w:rPr>
          <w:rFonts w:ascii="Times New Roman" w:eastAsia="Times New Roman" w:hAnsi="Times New Roman" w:cs="Times New Roman"/>
          <w:noProof/>
          <w:sz w:val="20"/>
        </w:rPr>
        <w:drawing>
          <wp:anchor distT="0" distB="0" distL="114300" distR="114300" simplePos="0" relativeHeight="251668480" behindDoc="1" locked="0" layoutInCell="1" allowOverlap="1" wp14:anchorId="558BF28A" wp14:editId="59339F36">
            <wp:simplePos x="0" y="0"/>
            <wp:positionH relativeFrom="column">
              <wp:posOffset>2488565</wp:posOffset>
            </wp:positionH>
            <wp:positionV relativeFrom="paragraph">
              <wp:posOffset>45720</wp:posOffset>
            </wp:positionV>
            <wp:extent cx="941070" cy="891540"/>
            <wp:effectExtent l="0" t="0" r="0" b="3810"/>
            <wp:wrapTight wrapText="bothSides">
              <wp:wrapPolygon edited="0">
                <wp:start x="0" y="0"/>
                <wp:lineTo x="0" y="21231"/>
                <wp:lineTo x="20988" y="21231"/>
                <wp:lineTo x="20988" y="0"/>
                <wp:lineTo x="0" y="0"/>
              </wp:wrapPolygon>
            </wp:wrapTight>
            <wp:docPr id="157624850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107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9334C" w14:textId="63A4DDFF" w:rsidR="006055D0" w:rsidRPr="006055D0" w:rsidRDefault="006055D0" w:rsidP="006055D0">
      <w:pPr>
        <w:widowControl w:val="0"/>
        <w:autoSpaceDE w:val="0"/>
        <w:autoSpaceDN w:val="0"/>
        <w:spacing w:line="240" w:lineRule="auto"/>
        <w:ind w:left="4333"/>
        <w:rPr>
          <w:rFonts w:ascii="Times New Roman" w:eastAsia="Times New Roman" w:hAnsi="Times New Roman" w:cs="Times New Roman"/>
          <w:sz w:val="20"/>
        </w:rPr>
      </w:pPr>
    </w:p>
    <w:p w14:paraId="5F51B4B6"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4"/>
          <w:szCs w:val="24"/>
        </w:rPr>
      </w:pPr>
    </w:p>
    <w:p w14:paraId="5C8E9C9B"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4"/>
          <w:szCs w:val="24"/>
        </w:rPr>
      </w:pPr>
    </w:p>
    <w:p w14:paraId="661AD520" w14:textId="77777777" w:rsidR="006055D0" w:rsidRDefault="006055D0" w:rsidP="006055D0">
      <w:pPr>
        <w:widowControl w:val="0"/>
        <w:autoSpaceDE w:val="0"/>
        <w:autoSpaceDN w:val="0"/>
        <w:spacing w:before="40" w:line="240" w:lineRule="auto"/>
        <w:rPr>
          <w:rFonts w:ascii="Times New Roman" w:eastAsia="Times New Roman" w:hAnsi="Times New Roman" w:cs="Times New Roman"/>
          <w:sz w:val="24"/>
          <w:szCs w:val="24"/>
        </w:rPr>
      </w:pPr>
    </w:p>
    <w:p w14:paraId="373D86FD" w14:textId="77777777" w:rsidR="00596065" w:rsidRDefault="00596065" w:rsidP="006055D0">
      <w:pPr>
        <w:widowControl w:val="0"/>
        <w:autoSpaceDE w:val="0"/>
        <w:autoSpaceDN w:val="0"/>
        <w:spacing w:before="40" w:line="240" w:lineRule="auto"/>
        <w:rPr>
          <w:rFonts w:ascii="Times New Roman" w:eastAsia="Times New Roman" w:hAnsi="Times New Roman" w:cs="Times New Roman"/>
          <w:sz w:val="24"/>
          <w:szCs w:val="24"/>
        </w:rPr>
      </w:pPr>
    </w:p>
    <w:p w14:paraId="045043A3" w14:textId="77777777" w:rsidR="00596065" w:rsidRPr="006055D0" w:rsidRDefault="00596065" w:rsidP="006055D0">
      <w:pPr>
        <w:widowControl w:val="0"/>
        <w:autoSpaceDE w:val="0"/>
        <w:autoSpaceDN w:val="0"/>
        <w:spacing w:before="40" w:line="240" w:lineRule="auto"/>
        <w:rPr>
          <w:rFonts w:ascii="Times New Roman" w:eastAsia="Times New Roman" w:hAnsi="Times New Roman" w:cs="Times New Roman"/>
          <w:sz w:val="24"/>
          <w:szCs w:val="24"/>
        </w:rPr>
      </w:pPr>
    </w:p>
    <w:p w14:paraId="2E6F1F44" w14:textId="77777777" w:rsidR="006055D0" w:rsidRPr="006055D0" w:rsidRDefault="006055D0" w:rsidP="00596065">
      <w:pPr>
        <w:jc w:val="center"/>
        <w:rPr>
          <w:rFonts w:ascii="Times New Roman" w:eastAsia="Times New Roman" w:hAnsi="Times New Roman" w:cs="Times New Roman"/>
          <w:b/>
          <w:bCs/>
          <w:sz w:val="24"/>
          <w:szCs w:val="24"/>
        </w:rPr>
      </w:pPr>
      <w:r w:rsidRPr="006055D0">
        <w:rPr>
          <w:rFonts w:ascii="Times New Roman" w:eastAsia="Times New Roman" w:hAnsi="Times New Roman" w:cs="Times New Roman"/>
          <w:b/>
          <w:bCs/>
          <w:sz w:val="24"/>
          <w:szCs w:val="24"/>
        </w:rPr>
        <w:t>UNIVERSITY</w:t>
      </w:r>
      <w:r w:rsidRPr="006055D0">
        <w:rPr>
          <w:rFonts w:ascii="Times New Roman" w:eastAsia="Times New Roman" w:hAnsi="Times New Roman" w:cs="Times New Roman"/>
          <w:b/>
          <w:bCs/>
          <w:spacing w:val="-4"/>
          <w:sz w:val="24"/>
          <w:szCs w:val="24"/>
        </w:rPr>
        <w:t xml:space="preserve"> </w:t>
      </w:r>
      <w:r w:rsidRPr="006055D0">
        <w:rPr>
          <w:rFonts w:ascii="Times New Roman" w:eastAsia="Times New Roman" w:hAnsi="Times New Roman" w:cs="Times New Roman"/>
          <w:b/>
          <w:bCs/>
          <w:sz w:val="24"/>
          <w:szCs w:val="24"/>
        </w:rPr>
        <w:t>OF</w:t>
      </w:r>
      <w:r w:rsidRPr="006055D0">
        <w:rPr>
          <w:rFonts w:ascii="Times New Roman" w:eastAsia="Times New Roman" w:hAnsi="Times New Roman" w:cs="Times New Roman"/>
          <w:b/>
          <w:bCs/>
          <w:spacing w:val="-4"/>
          <w:sz w:val="24"/>
          <w:szCs w:val="24"/>
        </w:rPr>
        <w:t xml:space="preserve"> </w:t>
      </w:r>
      <w:r w:rsidRPr="006055D0">
        <w:rPr>
          <w:rFonts w:ascii="Times New Roman" w:eastAsia="Times New Roman" w:hAnsi="Times New Roman" w:cs="Times New Roman"/>
          <w:b/>
          <w:bCs/>
          <w:spacing w:val="-2"/>
          <w:sz w:val="24"/>
          <w:szCs w:val="24"/>
        </w:rPr>
        <w:t>MALAWI</w:t>
      </w:r>
    </w:p>
    <w:p w14:paraId="780F4A18" w14:textId="77777777" w:rsidR="006055D0" w:rsidRDefault="006055D0" w:rsidP="006055D0">
      <w:pPr>
        <w:widowControl w:val="0"/>
        <w:autoSpaceDE w:val="0"/>
        <w:autoSpaceDN w:val="0"/>
        <w:spacing w:line="240" w:lineRule="auto"/>
        <w:rPr>
          <w:rFonts w:ascii="Times New Roman" w:eastAsia="Times New Roman" w:hAnsi="Times New Roman" w:cs="Times New Roman"/>
          <w:b/>
          <w:sz w:val="24"/>
          <w:szCs w:val="24"/>
        </w:rPr>
      </w:pPr>
    </w:p>
    <w:p w14:paraId="52C6A46B" w14:textId="77777777" w:rsidR="00596065" w:rsidRPr="006055D0" w:rsidRDefault="00596065" w:rsidP="006055D0">
      <w:pPr>
        <w:widowControl w:val="0"/>
        <w:autoSpaceDE w:val="0"/>
        <w:autoSpaceDN w:val="0"/>
        <w:spacing w:line="240" w:lineRule="auto"/>
        <w:rPr>
          <w:rFonts w:ascii="Times New Roman" w:eastAsia="Times New Roman" w:hAnsi="Times New Roman" w:cs="Times New Roman"/>
          <w:b/>
          <w:sz w:val="24"/>
          <w:szCs w:val="24"/>
        </w:rPr>
      </w:pPr>
    </w:p>
    <w:p w14:paraId="7D9A651D" w14:textId="77777777" w:rsidR="006055D0" w:rsidRPr="006055D0" w:rsidRDefault="006055D0" w:rsidP="006055D0">
      <w:pPr>
        <w:widowControl w:val="0"/>
        <w:autoSpaceDE w:val="0"/>
        <w:autoSpaceDN w:val="0"/>
        <w:spacing w:line="240" w:lineRule="auto"/>
        <w:ind w:left="45" w:right="2"/>
        <w:jc w:val="center"/>
        <w:rPr>
          <w:rFonts w:ascii="Times New Roman" w:eastAsia="Times New Roman" w:hAnsi="Times New Roman" w:cs="Times New Roman"/>
          <w:b/>
          <w:sz w:val="24"/>
        </w:rPr>
      </w:pPr>
      <w:r w:rsidRPr="006055D0">
        <w:rPr>
          <w:rFonts w:ascii="Times New Roman" w:eastAsia="Times New Roman" w:hAnsi="Times New Roman" w:cs="Times New Roman"/>
          <w:b/>
          <w:sz w:val="24"/>
        </w:rPr>
        <w:t>College</w:t>
      </w:r>
      <w:r w:rsidRPr="006055D0">
        <w:rPr>
          <w:rFonts w:ascii="Times New Roman" w:eastAsia="Times New Roman" w:hAnsi="Times New Roman" w:cs="Times New Roman"/>
          <w:b/>
          <w:spacing w:val="-2"/>
          <w:sz w:val="24"/>
        </w:rPr>
        <w:t xml:space="preserve"> </w:t>
      </w:r>
      <w:r w:rsidRPr="006055D0">
        <w:rPr>
          <w:rFonts w:ascii="Times New Roman" w:eastAsia="Times New Roman" w:hAnsi="Times New Roman" w:cs="Times New Roman"/>
          <w:b/>
          <w:sz w:val="24"/>
        </w:rPr>
        <w:t xml:space="preserve">of </w:t>
      </w:r>
      <w:r w:rsidRPr="006055D0">
        <w:rPr>
          <w:rFonts w:ascii="Times New Roman" w:eastAsia="Times New Roman" w:hAnsi="Times New Roman" w:cs="Times New Roman"/>
          <w:b/>
          <w:spacing w:val="-2"/>
          <w:sz w:val="24"/>
        </w:rPr>
        <w:t>Medicine</w:t>
      </w:r>
    </w:p>
    <w:p w14:paraId="2726070B"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b/>
          <w:sz w:val="24"/>
          <w:szCs w:val="24"/>
        </w:rPr>
      </w:pPr>
    </w:p>
    <w:p w14:paraId="78E8EE0F"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b/>
          <w:sz w:val="24"/>
          <w:szCs w:val="24"/>
        </w:rPr>
      </w:pPr>
    </w:p>
    <w:p w14:paraId="1B01B714" w14:textId="77777777" w:rsidR="006055D0" w:rsidRPr="006055D0" w:rsidRDefault="006055D0" w:rsidP="0038502B">
      <w:pPr>
        <w:widowControl w:val="0"/>
        <w:autoSpaceDE w:val="0"/>
        <w:autoSpaceDN w:val="0"/>
        <w:spacing w:line="480" w:lineRule="auto"/>
        <w:jc w:val="center"/>
        <w:rPr>
          <w:rFonts w:ascii="Times New Roman" w:eastAsia="Times New Roman" w:hAnsi="Times New Roman" w:cs="Times New Roman"/>
          <w:b/>
          <w:sz w:val="24"/>
          <w:szCs w:val="24"/>
        </w:rPr>
      </w:pPr>
    </w:p>
    <w:p w14:paraId="2BD93709" w14:textId="057AFAAA" w:rsidR="006055D0" w:rsidRPr="006055D0" w:rsidRDefault="006055D0" w:rsidP="0038502B">
      <w:pPr>
        <w:widowControl w:val="0"/>
        <w:autoSpaceDE w:val="0"/>
        <w:autoSpaceDN w:val="0"/>
        <w:spacing w:line="480" w:lineRule="auto"/>
        <w:jc w:val="center"/>
        <w:rPr>
          <w:rFonts w:ascii="Times New Roman" w:eastAsia="Times New Roman" w:hAnsi="Times New Roman" w:cs="Times New Roman"/>
          <w:b/>
          <w:sz w:val="24"/>
          <w:szCs w:val="24"/>
        </w:rPr>
      </w:pPr>
      <w:r w:rsidRPr="006055D0">
        <w:rPr>
          <w:rFonts w:ascii="Times New Roman" w:eastAsia="Arial" w:hAnsi="Times New Roman" w:cs="Times New Roman"/>
          <w:b/>
          <w:bCs/>
          <w:sz w:val="24"/>
          <w:szCs w:val="24"/>
        </w:rPr>
        <w:t xml:space="preserve">Assessing the Seroprevalence of </w:t>
      </w:r>
      <w:r w:rsidR="001C7F1D">
        <w:rPr>
          <w:rFonts w:ascii="Times New Roman" w:eastAsia="Arial" w:hAnsi="Times New Roman" w:cs="Times New Roman"/>
          <w:b/>
          <w:bCs/>
          <w:sz w:val="24"/>
          <w:szCs w:val="24"/>
        </w:rPr>
        <w:t>Measles Antibodies</w:t>
      </w:r>
      <w:r w:rsidRPr="006055D0">
        <w:rPr>
          <w:rFonts w:ascii="Times New Roman" w:eastAsia="Arial" w:hAnsi="Times New Roman" w:cs="Times New Roman"/>
          <w:b/>
          <w:bCs/>
          <w:sz w:val="24"/>
          <w:szCs w:val="24"/>
        </w:rPr>
        <w:t xml:space="preserve"> in Malawi</w:t>
      </w:r>
    </w:p>
    <w:p w14:paraId="59EA5376" w14:textId="30259505" w:rsidR="006055D0" w:rsidRDefault="006055D0" w:rsidP="0038502B">
      <w:pPr>
        <w:widowControl w:val="0"/>
        <w:autoSpaceDE w:val="0"/>
        <w:autoSpaceDN w:val="0"/>
        <w:spacing w:line="480" w:lineRule="auto"/>
        <w:ind w:right="824"/>
        <w:jc w:val="center"/>
        <w:rPr>
          <w:rFonts w:ascii="Times New Roman" w:eastAsia="Times New Roman" w:hAnsi="Times New Roman" w:cs="Times New Roman"/>
          <w:b/>
          <w:spacing w:val="-6"/>
          <w:sz w:val="24"/>
        </w:rPr>
      </w:pPr>
      <w:r w:rsidRPr="006055D0">
        <w:rPr>
          <w:rFonts w:ascii="Times New Roman" w:eastAsia="Times New Roman" w:hAnsi="Times New Roman" w:cs="Times New Roman"/>
          <w:b/>
          <w:spacing w:val="-6"/>
          <w:sz w:val="24"/>
        </w:rPr>
        <w:t>By</w:t>
      </w:r>
    </w:p>
    <w:p w14:paraId="2A94D01D" w14:textId="77777777" w:rsidR="006055D0" w:rsidRDefault="006055D0" w:rsidP="006055D0">
      <w:pPr>
        <w:widowControl w:val="0"/>
        <w:autoSpaceDE w:val="0"/>
        <w:autoSpaceDN w:val="0"/>
        <w:spacing w:line="480" w:lineRule="auto"/>
        <w:ind w:right="824"/>
        <w:jc w:val="center"/>
        <w:rPr>
          <w:rFonts w:ascii="Times New Roman" w:eastAsia="Times New Roman" w:hAnsi="Times New Roman" w:cs="Times New Roman"/>
          <w:b/>
          <w:spacing w:val="-6"/>
          <w:sz w:val="24"/>
        </w:rPr>
      </w:pPr>
    </w:p>
    <w:p w14:paraId="5AFC077F" w14:textId="14354024" w:rsidR="006055D0" w:rsidRDefault="006055D0" w:rsidP="0038502B">
      <w:pPr>
        <w:widowControl w:val="0"/>
        <w:autoSpaceDE w:val="0"/>
        <w:autoSpaceDN w:val="0"/>
        <w:spacing w:line="480" w:lineRule="auto"/>
        <w:jc w:val="center"/>
        <w:rPr>
          <w:rFonts w:ascii="Times New Roman" w:eastAsia="Arial" w:hAnsi="Times New Roman" w:cs="Times New Roman"/>
          <w:b/>
          <w:bCs/>
          <w:sz w:val="24"/>
          <w:szCs w:val="24"/>
        </w:rPr>
      </w:pPr>
      <w:r w:rsidRPr="006055D0">
        <w:rPr>
          <w:rFonts w:ascii="Times New Roman" w:eastAsia="Arial" w:hAnsi="Times New Roman" w:cs="Times New Roman"/>
          <w:b/>
          <w:bCs/>
          <w:sz w:val="24"/>
          <w:szCs w:val="24"/>
        </w:rPr>
        <w:t>Chawanang N Khuwi</w:t>
      </w:r>
    </w:p>
    <w:p w14:paraId="78A6C022" w14:textId="77777777" w:rsidR="006055D0" w:rsidRPr="006055D0" w:rsidRDefault="006055D0" w:rsidP="006055D0">
      <w:pPr>
        <w:widowControl w:val="0"/>
        <w:autoSpaceDE w:val="0"/>
        <w:autoSpaceDN w:val="0"/>
        <w:spacing w:line="480" w:lineRule="auto"/>
        <w:ind w:right="824"/>
        <w:jc w:val="center"/>
        <w:rPr>
          <w:rFonts w:ascii="Times New Roman" w:eastAsia="Times New Roman" w:hAnsi="Times New Roman" w:cs="Times New Roman"/>
          <w:b/>
          <w:sz w:val="24"/>
        </w:rPr>
      </w:pPr>
    </w:p>
    <w:p w14:paraId="11B86975" w14:textId="77777777" w:rsidR="006055D0" w:rsidRPr="006055D0" w:rsidRDefault="006055D0" w:rsidP="006055D0">
      <w:pPr>
        <w:widowControl w:val="0"/>
        <w:autoSpaceDE w:val="0"/>
        <w:autoSpaceDN w:val="0"/>
        <w:spacing w:line="271" w:lineRule="exact"/>
        <w:ind w:left="44" w:right="2"/>
        <w:jc w:val="center"/>
        <w:rPr>
          <w:rFonts w:ascii="Times New Roman" w:eastAsia="Times New Roman" w:hAnsi="Times New Roman" w:cs="Times New Roman"/>
          <w:sz w:val="24"/>
          <w:szCs w:val="24"/>
        </w:rPr>
      </w:pPr>
      <w:r w:rsidRPr="006055D0">
        <w:rPr>
          <w:rFonts w:ascii="Times New Roman" w:eastAsia="Times New Roman" w:hAnsi="Times New Roman" w:cs="Times New Roman"/>
          <w:sz w:val="24"/>
          <w:szCs w:val="24"/>
        </w:rPr>
        <w:t>MSc</w:t>
      </w:r>
      <w:r w:rsidRPr="006055D0">
        <w:rPr>
          <w:rFonts w:ascii="Times New Roman" w:eastAsia="Times New Roman" w:hAnsi="Times New Roman" w:cs="Times New Roman"/>
          <w:spacing w:val="-3"/>
          <w:sz w:val="24"/>
          <w:szCs w:val="24"/>
        </w:rPr>
        <w:t>-</w:t>
      </w:r>
      <w:r w:rsidRPr="006055D0">
        <w:rPr>
          <w:rFonts w:ascii="Times New Roman" w:eastAsia="Times New Roman" w:hAnsi="Times New Roman" w:cs="Times New Roman"/>
          <w:sz w:val="24"/>
          <w:szCs w:val="24"/>
        </w:rPr>
        <w:t>Epidemiology</w:t>
      </w:r>
    </w:p>
    <w:p w14:paraId="6AB26A91" w14:textId="77777777" w:rsidR="006055D0" w:rsidRDefault="006055D0" w:rsidP="006055D0">
      <w:pPr>
        <w:widowControl w:val="0"/>
        <w:autoSpaceDE w:val="0"/>
        <w:autoSpaceDN w:val="0"/>
        <w:spacing w:before="2" w:line="240" w:lineRule="auto"/>
        <w:jc w:val="center"/>
        <w:rPr>
          <w:rFonts w:ascii="Times New Roman" w:eastAsia="Times New Roman" w:hAnsi="Times New Roman" w:cs="Times New Roman"/>
          <w:sz w:val="24"/>
          <w:szCs w:val="24"/>
        </w:rPr>
      </w:pPr>
    </w:p>
    <w:p w14:paraId="34A16BFA" w14:textId="77777777" w:rsidR="006055D0" w:rsidRPr="006055D0" w:rsidRDefault="006055D0" w:rsidP="006055D0">
      <w:pPr>
        <w:widowControl w:val="0"/>
        <w:autoSpaceDE w:val="0"/>
        <w:autoSpaceDN w:val="0"/>
        <w:spacing w:before="2" w:line="240" w:lineRule="auto"/>
        <w:jc w:val="center"/>
        <w:rPr>
          <w:rFonts w:ascii="Times New Roman" w:eastAsia="Times New Roman" w:hAnsi="Times New Roman" w:cs="Times New Roman"/>
          <w:sz w:val="24"/>
          <w:szCs w:val="24"/>
        </w:rPr>
      </w:pPr>
    </w:p>
    <w:p w14:paraId="59AF3E4D" w14:textId="77777777" w:rsidR="006055D0" w:rsidRPr="006055D0" w:rsidRDefault="006055D0" w:rsidP="006055D0">
      <w:pPr>
        <w:widowControl w:val="0"/>
        <w:autoSpaceDE w:val="0"/>
        <w:autoSpaceDN w:val="0"/>
        <w:spacing w:before="1" w:line="240" w:lineRule="auto"/>
        <w:ind w:left="44" w:right="44"/>
        <w:jc w:val="center"/>
        <w:rPr>
          <w:rFonts w:eastAsia="Times New Roman" w:hAnsi="Times New Roman" w:cs="Times New Roman"/>
        </w:rPr>
      </w:pPr>
      <w:r w:rsidRPr="006055D0">
        <w:rPr>
          <w:rFonts w:eastAsia="Times New Roman" w:hAnsi="Times New Roman" w:cs="Times New Roman"/>
          <w:highlight w:val="yellow"/>
        </w:rPr>
        <w:t>(MEp</w:t>
      </w:r>
      <w:r w:rsidRPr="006055D0">
        <w:rPr>
          <w:rFonts w:eastAsia="Times New Roman" w:hAnsi="Times New Roman" w:cs="Times New Roman"/>
          <w:spacing w:val="-3"/>
          <w:highlight w:val="yellow"/>
        </w:rPr>
        <w:t xml:space="preserve"> </w:t>
      </w:r>
      <w:r w:rsidRPr="006055D0">
        <w:rPr>
          <w:rFonts w:eastAsia="Times New Roman" w:hAnsi="Times New Roman" w:cs="Times New Roman"/>
          <w:spacing w:val="-2"/>
          <w:highlight w:val="yellow"/>
        </w:rPr>
        <w:t>201287654321)</w:t>
      </w:r>
    </w:p>
    <w:p w14:paraId="32F5F2F4" w14:textId="77777777" w:rsidR="006055D0" w:rsidRPr="006055D0" w:rsidRDefault="006055D0" w:rsidP="006055D0">
      <w:pPr>
        <w:widowControl w:val="0"/>
        <w:autoSpaceDE w:val="0"/>
        <w:autoSpaceDN w:val="0"/>
        <w:spacing w:line="240" w:lineRule="auto"/>
        <w:jc w:val="center"/>
        <w:rPr>
          <w:rFonts w:eastAsia="Times New Roman" w:hAnsi="Times New Roman" w:cs="Times New Roman"/>
          <w:szCs w:val="24"/>
        </w:rPr>
      </w:pPr>
    </w:p>
    <w:p w14:paraId="20765275" w14:textId="77777777" w:rsidR="006055D0" w:rsidRPr="006055D0" w:rsidRDefault="006055D0" w:rsidP="006055D0">
      <w:pPr>
        <w:widowControl w:val="0"/>
        <w:autoSpaceDE w:val="0"/>
        <w:autoSpaceDN w:val="0"/>
        <w:spacing w:line="240" w:lineRule="auto"/>
        <w:rPr>
          <w:rFonts w:eastAsia="Times New Roman" w:hAnsi="Times New Roman" w:cs="Times New Roman"/>
          <w:szCs w:val="24"/>
        </w:rPr>
      </w:pPr>
    </w:p>
    <w:p w14:paraId="764627D8" w14:textId="77777777" w:rsidR="006055D0" w:rsidRPr="006055D0" w:rsidRDefault="006055D0" w:rsidP="006055D0">
      <w:pPr>
        <w:widowControl w:val="0"/>
        <w:autoSpaceDE w:val="0"/>
        <w:autoSpaceDN w:val="0"/>
        <w:spacing w:line="240" w:lineRule="auto"/>
        <w:rPr>
          <w:rFonts w:eastAsia="Times New Roman" w:hAnsi="Times New Roman" w:cs="Times New Roman"/>
          <w:szCs w:val="24"/>
        </w:rPr>
      </w:pPr>
    </w:p>
    <w:p w14:paraId="7C738566" w14:textId="77777777" w:rsidR="006055D0" w:rsidRPr="006055D0" w:rsidRDefault="006055D0" w:rsidP="006055D0">
      <w:pPr>
        <w:widowControl w:val="0"/>
        <w:autoSpaceDE w:val="0"/>
        <w:autoSpaceDN w:val="0"/>
        <w:spacing w:line="240" w:lineRule="auto"/>
        <w:rPr>
          <w:rFonts w:eastAsia="Times New Roman" w:hAnsi="Times New Roman" w:cs="Times New Roman"/>
          <w:szCs w:val="24"/>
        </w:rPr>
      </w:pPr>
    </w:p>
    <w:p w14:paraId="76D184AD" w14:textId="77777777" w:rsidR="006055D0" w:rsidRPr="006055D0" w:rsidRDefault="006055D0" w:rsidP="006055D0">
      <w:pPr>
        <w:widowControl w:val="0"/>
        <w:autoSpaceDE w:val="0"/>
        <w:autoSpaceDN w:val="0"/>
        <w:spacing w:line="240" w:lineRule="auto"/>
        <w:rPr>
          <w:rFonts w:eastAsia="Times New Roman" w:hAnsi="Times New Roman" w:cs="Times New Roman"/>
          <w:szCs w:val="24"/>
        </w:rPr>
      </w:pPr>
    </w:p>
    <w:p w14:paraId="5EDBCCF8" w14:textId="77777777" w:rsidR="006055D0" w:rsidRPr="006055D0" w:rsidRDefault="006055D0" w:rsidP="006055D0">
      <w:pPr>
        <w:widowControl w:val="0"/>
        <w:autoSpaceDE w:val="0"/>
        <w:autoSpaceDN w:val="0"/>
        <w:spacing w:line="240" w:lineRule="auto"/>
        <w:rPr>
          <w:rFonts w:eastAsia="Times New Roman" w:hAnsi="Times New Roman" w:cs="Times New Roman"/>
          <w:szCs w:val="24"/>
        </w:rPr>
      </w:pPr>
    </w:p>
    <w:p w14:paraId="31532421" w14:textId="77777777" w:rsidR="006055D0" w:rsidRPr="006055D0" w:rsidRDefault="006055D0" w:rsidP="006055D0">
      <w:pPr>
        <w:widowControl w:val="0"/>
        <w:autoSpaceDE w:val="0"/>
        <w:autoSpaceDN w:val="0"/>
        <w:spacing w:before="104" w:line="240" w:lineRule="auto"/>
        <w:jc w:val="center"/>
        <w:rPr>
          <w:rFonts w:eastAsia="Times New Roman" w:hAnsi="Times New Roman" w:cs="Times New Roman"/>
          <w:szCs w:val="24"/>
        </w:rPr>
      </w:pPr>
    </w:p>
    <w:p w14:paraId="5D9DDE41" w14:textId="77777777" w:rsidR="006055D0" w:rsidRDefault="006055D0" w:rsidP="006055D0">
      <w:pPr>
        <w:widowControl w:val="0"/>
        <w:autoSpaceDE w:val="0"/>
        <w:autoSpaceDN w:val="0"/>
        <w:spacing w:before="1" w:line="480" w:lineRule="auto"/>
        <w:ind w:left="163"/>
        <w:jc w:val="center"/>
        <w:rPr>
          <w:rFonts w:ascii="Times New Roman" w:eastAsia="Times New Roman" w:hAnsi="Times New Roman" w:cs="Times New Roman"/>
          <w:b/>
          <w:sz w:val="24"/>
        </w:rPr>
      </w:pPr>
      <w:r w:rsidRPr="006055D0">
        <w:rPr>
          <w:rFonts w:ascii="Times New Roman" w:eastAsia="Times New Roman" w:hAnsi="Times New Roman" w:cs="Times New Roman"/>
          <w:b/>
          <w:sz w:val="24"/>
        </w:rPr>
        <w:t>A Dissertation Submitted in</w:t>
      </w:r>
      <w:r w:rsidRPr="006055D0">
        <w:rPr>
          <w:rFonts w:ascii="Times New Roman" w:eastAsia="Times New Roman" w:hAnsi="Times New Roman" w:cs="Times New Roman"/>
          <w:b/>
          <w:spacing w:val="-1"/>
          <w:sz w:val="24"/>
        </w:rPr>
        <w:t xml:space="preserve"> </w:t>
      </w:r>
      <w:r w:rsidRPr="006055D0">
        <w:rPr>
          <w:rFonts w:ascii="Times New Roman" w:eastAsia="Times New Roman" w:hAnsi="Times New Roman" w:cs="Times New Roman"/>
          <w:b/>
          <w:sz w:val="24"/>
        </w:rPr>
        <w:t>Partial Fulfilment of the</w:t>
      </w:r>
      <w:r w:rsidRPr="006055D0">
        <w:rPr>
          <w:rFonts w:ascii="Times New Roman" w:eastAsia="Times New Roman" w:hAnsi="Times New Roman" w:cs="Times New Roman"/>
          <w:b/>
          <w:spacing w:val="-1"/>
          <w:sz w:val="24"/>
        </w:rPr>
        <w:t xml:space="preserve"> </w:t>
      </w:r>
      <w:r w:rsidRPr="006055D0">
        <w:rPr>
          <w:rFonts w:ascii="Times New Roman" w:eastAsia="Times New Roman" w:hAnsi="Times New Roman" w:cs="Times New Roman"/>
          <w:b/>
          <w:sz w:val="24"/>
        </w:rPr>
        <w:t>Requirements of the</w:t>
      </w:r>
      <w:r w:rsidRPr="006055D0">
        <w:rPr>
          <w:rFonts w:ascii="Times New Roman" w:eastAsia="Times New Roman" w:hAnsi="Times New Roman" w:cs="Times New Roman"/>
          <w:b/>
          <w:spacing w:val="-1"/>
          <w:sz w:val="24"/>
        </w:rPr>
        <w:t xml:space="preserve"> </w:t>
      </w:r>
      <w:r w:rsidRPr="006055D0">
        <w:rPr>
          <w:rFonts w:ascii="Times New Roman" w:eastAsia="Times New Roman" w:hAnsi="Times New Roman" w:cs="Times New Roman"/>
          <w:b/>
          <w:sz w:val="24"/>
        </w:rPr>
        <w:t>Master</w:t>
      </w:r>
      <w:r w:rsidRPr="006055D0">
        <w:rPr>
          <w:rFonts w:ascii="Times New Roman" w:eastAsia="Times New Roman" w:hAnsi="Times New Roman" w:cs="Times New Roman"/>
          <w:b/>
          <w:spacing w:val="-1"/>
          <w:sz w:val="24"/>
        </w:rPr>
        <w:t xml:space="preserve"> </w:t>
      </w:r>
      <w:r w:rsidRPr="006055D0">
        <w:rPr>
          <w:rFonts w:ascii="Times New Roman" w:eastAsia="Times New Roman" w:hAnsi="Times New Roman" w:cs="Times New Roman"/>
          <w:b/>
          <w:sz w:val="24"/>
        </w:rPr>
        <w:t>of Public Health Degree</w:t>
      </w:r>
    </w:p>
    <w:p w14:paraId="4401467F" w14:textId="77777777" w:rsidR="006055D0" w:rsidRDefault="006055D0" w:rsidP="006055D0">
      <w:pPr>
        <w:widowControl w:val="0"/>
        <w:autoSpaceDE w:val="0"/>
        <w:autoSpaceDN w:val="0"/>
        <w:spacing w:before="1" w:line="480" w:lineRule="auto"/>
        <w:ind w:left="163"/>
        <w:jc w:val="center"/>
        <w:rPr>
          <w:rFonts w:ascii="Times New Roman" w:eastAsia="Times New Roman" w:hAnsi="Times New Roman" w:cs="Times New Roman"/>
          <w:b/>
          <w:sz w:val="24"/>
        </w:rPr>
      </w:pPr>
    </w:p>
    <w:p w14:paraId="3E48B91C" w14:textId="77777777" w:rsidR="006055D0" w:rsidRPr="006055D0" w:rsidRDefault="006055D0" w:rsidP="006055D0">
      <w:pPr>
        <w:widowControl w:val="0"/>
        <w:autoSpaceDE w:val="0"/>
        <w:autoSpaceDN w:val="0"/>
        <w:spacing w:before="1" w:line="480" w:lineRule="auto"/>
        <w:ind w:left="163"/>
        <w:jc w:val="center"/>
        <w:rPr>
          <w:rFonts w:ascii="Times New Roman" w:eastAsia="Times New Roman" w:hAnsi="Times New Roman" w:cs="Times New Roman"/>
          <w:b/>
          <w:sz w:val="24"/>
        </w:rPr>
      </w:pPr>
    </w:p>
    <w:p w14:paraId="0C643C68" w14:textId="77777777" w:rsidR="006055D0" w:rsidRPr="006055D0" w:rsidRDefault="006055D0" w:rsidP="006055D0">
      <w:pPr>
        <w:widowControl w:val="0"/>
        <w:autoSpaceDE w:val="0"/>
        <w:autoSpaceDN w:val="0"/>
        <w:spacing w:line="276" w:lineRule="exact"/>
        <w:ind w:left="3871"/>
        <w:rPr>
          <w:rFonts w:ascii="Times New Roman" w:eastAsia="Times New Roman" w:hAnsi="Times New Roman" w:cs="Times New Roman"/>
          <w:b/>
          <w:sz w:val="24"/>
        </w:rPr>
      </w:pPr>
      <w:r w:rsidRPr="006055D0">
        <w:rPr>
          <w:rFonts w:ascii="Times New Roman" w:eastAsia="Times New Roman" w:hAnsi="Times New Roman" w:cs="Times New Roman"/>
          <w:b/>
          <w:sz w:val="24"/>
        </w:rPr>
        <w:t>30</w:t>
      </w:r>
      <w:r w:rsidRPr="006055D0">
        <w:rPr>
          <w:rFonts w:ascii="Times New Roman" w:eastAsia="Times New Roman" w:hAnsi="Times New Roman" w:cs="Times New Roman"/>
          <w:b/>
          <w:position w:val="8"/>
          <w:sz w:val="16"/>
        </w:rPr>
        <w:t>th</w:t>
      </w:r>
      <w:r w:rsidRPr="006055D0">
        <w:rPr>
          <w:rFonts w:ascii="Times New Roman" w:eastAsia="Times New Roman" w:hAnsi="Times New Roman" w:cs="Times New Roman"/>
          <w:b/>
          <w:spacing w:val="16"/>
          <w:position w:val="8"/>
          <w:sz w:val="16"/>
        </w:rPr>
        <w:t xml:space="preserve"> </w:t>
      </w:r>
      <w:r w:rsidRPr="006055D0">
        <w:rPr>
          <w:rFonts w:ascii="Times New Roman" w:eastAsia="Times New Roman" w:hAnsi="Times New Roman" w:cs="Times New Roman"/>
          <w:b/>
          <w:sz w:val="24"/>
        </w:rPr>
        <w:t>June</w:t>
      </w:r>
      <w:r w:rsidRPr="006055D0">
        <w:rPr>
          <w:rFonts w:ascii="Times New Roman" w:eastAsia="Times New Roman" w:hAnsi="Times New Roman" w:cs="Times New Roman"/>
          <w:b/>
          <w:spacing w:val="-4"/>
          <w:sz w:val="24"/>
        </w:rPr>
        <w:t xml:space="preserve"> 2026</w:t>
      </w:r>
    </w:p>
    <w:p w14:paraId="3CBE818B" w14:textId="77777777" w:rsidR="00254505" w:rsidRDefault="00254505" w:rsidP="00254505">
      <w:bookmarkStart w:id="0" w:name="_Toc232844516"/>
    </w:p>
    <w:p w14:paraId="3C0DF4AF" w14:textId="73DC8464" w:rsidR="00254505" w:rsidRDefault="00254505" w:rsidP="00254505">
      <w:pPr>
        <w:pStyle w:val="Heading1"/>
        <w:numPr>
          <w:ilvl w:val="0"/>
          <w:numId w:val="0"/>
        </w:numPr>
        <w:ind w:left="432"/>
      </w:pPr>
      <w:r>
        <w:lastRenderedPageBreak/>
        <w:br w:type="page"/>
      </w:r>
    </w:p>
    <w:p w14:paraId="2799A67C" w14:textId="448EF9B2" w:rsidR="006055D0" w:rsidRPr="006055D0" w:rsidRDefault="00105C81" w:rsidP="00985840">
      <w:pPr>
        <w:pStyle w:val="Heading1"/>
        <w:numPr>
          <w:ilvl w:val="0"/>
          <w:numId w:val="0"/>
        </w:numPr>
        <w:ind w:left="432"/>
      </w:pPr>
      <w:bookmarkStart w:id="1" w:name="_Toc232850300"/>
      <w:r>
        <w:lastRenderedPageBreak/>
        <w:t>C</w:t>
      </w:r>
      <w:r w:rsidRPr="006055D0">
        <w:t>ertificate</w:t>
      </w:r>
      <w:r w:rsidRPr="006055D0">
        <w:rPr>
          <w:spacing w:val="-3"/>
        </w:rPr>
        <w:t xml:space="preserve"> </w:t>
      </w:r>
      <w:r w:rsidRPr="006055D0">
        <w:t>of</w:t>
      </w:r>
      <w:r w:rsidRPr="006055D0">
        <w:rPr>
          <w:spacing w:val="-5"/>
        </w:rPr>
        <w:t xml:space="preserve"> </w:t>
      </w:r>
      <w:r>
        <w:rPr>
          <w:spacing w:val="-2"/>
        </w:rPr>
        <w:t>A</w:t>
      </w:r>
      <w:r w:rsidRPr="006055D0">
        <w:rPr>
          <w:spacing w:val="-2"/>
        </w:rPr>
        <w:t>pproval</w:t>
      </w:r>
      <w:bookmarkEnd w:id="0"/>
      <w:bookmarkEnd w:id="1"/>
    </w:p>
    <w:p w14:paraId="4C94AC1A"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b/>
          <w:sz w:val="24"/>
          <w:szCs w:val="24"/>
        </w:rPr>
      </w:pPr>
    </w:p>
    <w:p w14:paraId="7E9B3F1A" w14:textId="77777777" w:rsidR="006055D0" w:rsidRPr="006055D0" w:rsidRDefault="006055D0" w:rsidP="006055D0">
      <w:pPr>
        <w:widowControl w:val="0"/>
        <w:autoSpaceDE w:val="0"/>
        <w:autoSpaceDN w:val="0"/>
        <w:spacing w:before="272" w:line="240" w:lineRule="auto"/>
        <w:rPr>
          <w:rFonts w:ascii="Times New Roman" w:eastAsia="Times New Roman" w:hAnsi="Times New Roman" w:cs="Times New Roman"/>
          <w:b/>
          <w:sz w:val="24"/>
          <w:szCs w:val="24"/>
        </w:rPr>
      </w:pPr>
    </w:p>
    <w:p w14:paraId="24D0CA99" w14:textId="77777777" w:rsidR="006055D0" w:rsidRPr="006055D0" w:rsidRDefault="006055D0" w:rsidP="006055D0">
      <w:pPr>
        <w:widowControl w:val="0"/>
        <w:autoSpaceDE w:val="0"/>
        <w:autoSpaceDN w:val="0"/>
        <w:spacing w:line="240" w:lineRule="auto"/>
        <w:ind w:left="44" w:right="44"/>
        <w:jc w:val="center"/>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The</w:t>
      </w:r>
      <w:r w:rsidRPr="0038502B">
        <w:rPr>
          <w:rFonts w:ascii="Times New Roman" w:eastAsia="Times New Roman" w:hAnsi="Times New Roman" w:cs="Times New Roman"/>
          <w:spacing w:val="-4"/>
          <w:sz w:val="24"/>
          <w:szCs w:val="24"/>
        </w:rPr>
        <w:t xml:space="preserve"> </w:t>
      </w:r>
      <w:r w:rsidRPr="0038502B">
        <w:rPr>
          <w:rFonts w:ascii="Times New Roman" w:eastAsia="Times New Roman" w:hAnsi="Times New Roman" w:cs="Times New Roman"/>
          <w:sz w:val="24"/>
          <w:szCs w:val="24"/>
        </w:rPr>
        <w:t>Dissertation</w:t>
      </w:r>
      <w:r w:rsidRPr="0038502B">
        <w:rPr>
          <w:rFonts w:ascii="Times New Roman" w:eastAsia="Times New Roman" w:hAnsi="Times New Roman" w:cs="Times New Roman"/>
          <w:spacing w:val="-1"/>
          <w:sz w:val="24"/>
          <w:szCs w:val="24"/>
        </w:rPr>
        <w:t xml:space="preserve"> </w:t>
      </w:r>
      <w:r w:rsidRPr="0038502B">
        <w:rPr>
          <w:rFonts w:ascii="Times New Roman" w:eastAsia="Times New Roman" w:hAnsi="Times New Roman" w:cs="Times New Roman"/>
          <w:sz w:val="24"/>
          <w:szCs w:val="24"/>
        </w:rPr>
        <w:t>of</w:t>
      </w:r>
      <w:r w:rsidRPr="0038502B">
        <w:rPr>
          <w:rFonts w:ascii="Times New Roman" w:eastAsia="Times New Roman" w:hAnsi="Times New Roman" w:cs="Times New Roman"/>
          <w:spacing w:val="-2"/>
          <w:sz w:val="24"/>
          <w:szCs w:val="24"/>
        </w:rPr>
        <w:t xml:space="preserve"> </w:t>
      </w:r>
      <w:r w:rsidRPr="0038502B">
        <w:rPr>
          <w:rFonts w:ascii="Times New Roman" w:eastAsia="Arial" w:hAnsi="Times New Roman" w:cs="Times New Roman"/>
          <w:sz w:val="24"/>
          <w:szCs w:val="24"/>
        </w:rPr>
        <w:t xml:space="preserve">Chawanangwa N Khuwi </w:t>
      </w:r>
      <w:r w:rsidRPr="0038502B">
        <w:rPr>
          <w:rFonts w:ascii="Times New Roman" w:eastAsia="Times New Roman" w:hAnsi="Times New Roman" w:cs="Times New Roman"/>
          <w:sz w:val="24"/>
          <w:szCs w:val="24"/>
        </w:rPr>
        <w:t>is</w:t>
      </w:r>
      <w:r w:rsidRPr="0038502B">
        <w:rPr>
          <w:rFonts w:ascii="Times New Roman" w:eastAsia="Times New Roman" w:hAnsi="Times New Roman" w:cs="Times New Roman"/>
          <w:spacing w:val="-2"/>
          <w:sz w:val="24"/>
          <w:szCs w:val="24"/>
        </w:rPr>
        <w:t xml:space="preserve"> </w:t>
      </w:r>
      <w:r w:rsidRPr="0038502B">
        <w:rPr>
          <w:rFonts w:ascii="Times New Roman" w:eastAsia="Times New Roman" w:hAnsi="Times New Roman" w:cs="Times New Roman"/>
          <w:sz w:val="24"/>
          <w:szCs w:val="24"/>
        </w:rPr>
        <w:t>approved</w:t>
      </w:r>
      <w:r w:rsidRPr="0038502B">
        <w:rPr>
          <w:rFonts w:ascii="Times New Roman" w:eastAsia="Times New Roman" w:hAnsi="Times New Roman" w:cs="Times New Roman"/>
          <w:spacing w:val="-1"/>
          <w:sz w:val="24"/>
          <w:szCs w:val="24"/>
        </w:rPr>
        <w:t xml:space="preserve"> </w:t>
      </w:r>
      <w:r w:rsidRPr="0038502B">
        <w:rPr>
          <w:rFonts w:ascii="Times New Roman" w:eastAsia="Times New Roman" w:hAnsi="Times New Roman" w:cs="Times New Roman"/>
          <w:sz w:val="24"/>
          <w:szCs w:val="24"/>
        </w:rPr>
        <w:t>by</w:t>
      </w:r>
      <w:r w:rsidRPr="0038502B">
        <w:rPr>
          <w:rFonts w:ascii="Times New Roman" w:eastAsia="Times New Roman" w:hAnsi="Times New Roman" w:cs="Times New Roman"/>
          <w:spacing w:val="-3"/>
          <w:sz w:val="24"/>
          <w:szCs w:val="24"/>
        </w:rPr>
        <w:t xml:space="preserve"> </w:t>
      </w:r>
      <w:r w:rsidRPr="0038502B">
        <w:rPr>
          <w:rFonts w:ascii="Times New Roman" w:eastAsia="Times New Roman" w:hAnsi="Times New Roman" w:cs="Times New Roman"/>
          <w:sz w:val="24"/>
          <w:szCs w:val="24"/>
        </w:rPr>
        <w:t>the</w:t>
      </w:r>
      <w:r w:rsidRPr="0038502B">
        <w:rPr>
          <w:rFonts w:ascii="Times New Roman" w:eastAsia="Times New Roman" w:hAnsi="Times New Roman" w:cs="Times New Roman"/>
          <w:spacing w:val="-2"/>
          <w:sz w:val="24"/>
          <w:szCs w:val="24"/>
        </w:rPr>
        <w:t xml:space="preserve"> </w:t>
      </w:r>
      <w:r w:rsidRPr="0038502B">
        <w:rPr>
          <w:rFonts w:ascii="Times New Roman" w:eastAsia="Times New Roman" w:hAnsi="Times New Roman" w:cs="Times New Roman"/>
          <w:sz w:val="24"/>
          <w:szCs w:val="24"/>
        </w:rPr>
        <w:t>Dissertation</w:t>
      </w:r>
      <w:r w:rsidRPr="0038502B">
        <w:rPr>
          <w:rFonts w:ascii="Times New Roman" w:eastAsia="Times New Roman" w:hAnsi="Times New Roman" w:cs="Times New Roman"/>
          <w:spacing w:val="-1"/>
          <w:sz w:val="24"/>
          <w:szCs w:val="24"/>
        </w:rPr>
        <w:t xml:space="preserve"> </w:t>
      </w:r>
      <w:r w:rsidRPr="0038502B">
        <w:rPr>
          <w:rFonts w:ascii="Times New Roman" w:eastAsia="Times New Roman" w:hAnsi="Times New Roman" w:cs="Times New Roman"/>
          <w:sz w:val="24"/>
          <w:szCs w:val="24"/>
        </w:rPr>
        <w:t>Examination</w:t>
      </w:r>
      <w:r w:rsidRPr="006055D0">
        <w:rPr>
          <w:rFonts w:ascii="Times New Roman" w:eastAsia="Times New Roman" w:hAnsi="Times New Roman" w:cs="Times New Roman"/>
          <w:spacing w:val="-1"/>
          <w:sz w:val="24"/>
          <w:szCs w:val="24"/>
        </w:rPr>
        <w:t xml:space="preserve"> </w:t>
      </w:r>
      <w:r w:rsidRPr="006055D0">
        <w:rPr>
          <w:rFonts w:ascii="Times New Roman" w:eastAsia="Times New Roman" w:hAnsi="Times New Roman" w:cs="Times New Roman"/>
          <w:spacing w:val="-2"/>
          <w:sz w:val="24"/>
          <w:szCs w:val="24"/>
        </w:rPr>
        <w:t>Committee</w:t>
      </w:r>
    </w:p>
    <w:p w14:paraId="78F916B0"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06E8463E"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17DB6602"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56E51804"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2DD7419F"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35FD4761" w14:textId="77777777" w:rsidR="006055D0" w:rsidRPr="006055D0" w:rsidRDefault="006055D0" w:rsidP="006055D0">
      <w:pPr>
        <w:widowControl w:val="0"/>
        <w:autoSpaceDE w:val="0"/>
        <w:autoSpaceDN w:val="0"/>
        <w:spacing w:before="157" w:line="240" w:lineRule="auto"/>
        <w:rPr>
          <w:rFonts w:ascii="Times New Roman" w:eastAsia="Times New Roman" w:hAnsi="Times New Roman" w:cs="Times New Roman"/>
          <w:sz w:val="20"/>
          <w:szCs w:val="24"/>
        </w:rPr>
      </w:pPr>
      <w:r w:rsidRPr="006055D0">
        <w:rPr>
          <w:rFonts w:ascii="Times New Roman" w:eastAsia="Times New Roman" w:hAnsi="Times New Roman" w:cs="Times New Roman"/>
          <w:noProof/>
          <w:sz w:val="24"/>
          <w:szCs w:val="24"/>
        </w:rPr>
        <mc:AlternateContent>
          <mc:Choice Requires="wps">
            <w:drawing>
              <wp:anchor distT="0" distB="0" distL="0" distR="0" simplePos="0" relativeHeight="251662336" behindDoc="1" locked="0" layoutInCell="1" allowOverlap="1" wp14:anchorId="33AB67A4" wp14:editId="51B3C263">
                <wp:simplePos x="0" y="0"/>
                <wp:positionH relativeFrom="page">
                  <wp:posOffset>2575560</wp:posOffset>
                </wp:positionH>
                <wp:positionV relativeFrom="paragraph">
                  <wp:posOffset>260985</wp:posOffset>
                </wp:positionV>
                <wp:extent cx="2286000" cy="1270"/>
                <wp:effectExtent l="0" t="0" r="0" b="0"/>
                <wp:wrapTopAndBottom/>
                <wp:docPr id="788212889"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9144">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4476CD" id="Graphic 4" o:spid="_x0000_s1026" style="position:absolute;margin-left:202.8pt;margin-top:20.55pt;width:180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" path="m,l2286000,e" filled="f" strokeweight=".72pt">
                <v:path arrowok="t"/>
                <w10:wrap type="topAndBottom" anchorx="page"/>
              </v:shape>
            </w:pict>
          </mc:Fallback>
        </mc:AlternateContent>
      </w:r>
    </w:p>
    <w:p w14:paraId="50A82D2D" w14:textId="77777777" w:rsidR="006055D0" w:rsidRPr="006055D0" w:rsidRDefault="006055D0" w:rsidP="006055D0">
      <w:pPr>
        <w:widowControl w:val="0"/>
        <w:autoSpaceDE w:val="0"/>
        <w:autoSpaceDN w:val="0"/>
        <w:spacing w:before="87" w:line="240" w:lineRule="auto"/>
        <w:rPr>
          <w:rFonts w:ascii="Times New Roman" w:eastAsia="Times New Roman" w:hAnsi="Times New Roman" w:cs="Times New Roman"/>
          <w:sz w:val="24"/>
          <w:szCs w:val="24"/>
        </w:rPr>
      </w:pPr>
    </w:p>
    <w:p w14:paraId="5EDA087D" w14:textId="77777777" w:rsidR="006055D0" w:rsidRPr="006055D0" w:rsidRDefault="006055D0" w:rsidP="006055D0">
      <w:pPr>
        <w:widowControl w:val="0"/>
        <w:autoSpaceDE w:val="0"/>
        <w:autoSpaceDN w:val="0"/>
        <w:spacing w:before="1" w:line="240" w:lineRule="auto"/>
        <w:ind w:left="44" w:right="46"/>
        <w:jc w:val="center"/>
        <w:rPr>
          <w:rFonts w:ascii="Times New Roman" w:eastAsia="Times New Roman" w:hAnsi="Times New Roman" w:cs="Times New Roman"/>
          <w:sz w:val="24"/>
          <w:szCs w:val="24"/>
        </w:rPr>
      </w:pPr>
      <w:r w:rsidRPr="00313B92">
        <w:rPr>
          <w:rFonts w:ascii="Times New Roman" w:eastAsia="Times New Roman" w:hAnsi="Times New Roman" w:cs="Times New Roman"/>
          <w:sz w:val="24"/>
          <w:szCs w:val="24"/>
          <w:highlight w:val="yellow"/>
        </w:rPr>
        <w:t>Prof</w:t>
      </w:r>
      <w:r w:rsidRPr="00313B92">
        <w:rPr>
          <w:rFonts w:ascii="Times New Roman" w:eastAsia="Times New Roman" w:hAnsi="Times New Roman" w:cs="Times New Roman"/>
          <w:spacing w:val="-3"/>
          <w:sz w:val="24"/>
          <w:szCs w:val="24"/>
          <w:highlight w:val="yellow"/>
        </w:rPr>
        <w:t xml:space="preserve"> </w:t>
      </w:r>
      <w:r w:rsidRPr="00313B92">
        <w:rPr>
          <w:rFonts w:ascii="Times New Roman" w:eastAsia="Times New Roman" w:hAnsi="Times New Roman" w:cs="Times New Roman"/>
          <w:sz w:val="24"/>
          <w:szCs w:val="24"/>
          <w:highlight w:val="yellow"/>
        </w:rPr>
        <w:t>XX</w:t>
      </w:r>
      <w:r w:rsidRPr="00313B92">
        <w:rPr>
          <w:rFonts w:ascii="Times New Roman" w:eastAsia="Times New Roman" w:hAnsi="Times New Roman" w:cs="Times New Roman"/>
          <w:spacing w:val="-3"/>
          <w:sz w:val="24"/>
          <w:szCs w:val="24"/>
          <w:highlight w:val="yellow"/>
        </w:rPr>
        <w:t xml:space="preserve"> </w:t>
      </w:r>
      <w:r w:rsidRPr="00313B92">
        <w:rPr>
          <w:rFonts w:ascii="Times New Roman" w:eastAsia="Times New Roman" w:hAnsi="Times New Roman" w:cs="Times New Roman"/>
          <w:sz w:val="24"/>
          <w:szCs w:val="24"/>
          <w:highlight w:val="yellow"/>
        </w:rPr>
        <w:t>(Chairman,</w:t>
      </w:r>
      <w:r w:rsidRPr="00313B92">
        <w:rPr>
          <w:rFonts w:ascii="Times New Roman" w:eastAsia="Times New Roman" w:hAnsi="Times New Roman" w:cs="Times New Roman"/>
          <w:spacing w:val="-2"/>
          <w:sz w:val="24"/>
          <w:szCs w:val="24"/>
          <w:highlight w:val="yellow"/>
        </w:rPr>
        <w:t xml:space="preserve"> </w:t>
      </w:r>
      <w:r w:rsidRPr="00313B92">
        <w:rPr>
          <w:rFonts w:ascii="Times New Roman" w:eastAsia="Times New Roman" w:hAnsi="Times New Roman" w:cs="Times New Roman"/>
          <w:sz w:val="24"/>
          <w:szCs w:val="24"/>
          <w:highlight w:val="yellow"/>
        </w:rPr>
        <w:t>Post</w:t>
      </w:r>
      <w:r w:rsidRPr="00313B92">
        <w:rPr>
          <w:rFonts w:ascii="Times New Roman" w:eastAsia="Times New Roman" w:hAnsi="Times New Roman" w:cs="Times New Roman"/>
          <w:spacing w:val="-1"/>
          <w:sz w:val="24"/>
          <w:szCs w:val="24"/>
          <w:highlight w:val="yellow"/>
        </w:rPr>
        <w:t xml:space="preserve"> </w:t>
      </w:r>
      <w:r w:rsidRPr="00313B92">
        <w:rPr>
          <w:rFonts w:ascii="Times New Roman" w:eastAsia="Times New Roman" w:hAnsi="Times New Roman" w:cs="Times New Roman"/>
          <w:sz w:val="24"/>
          <w:szCs w:val="24"/>
          <w:highlight w:val="yellow"/>
        </w:rPr>
        <w:t>Graduate</w:t>
      </w:r>
      <w:r w:rsidRPr="00313B92">
        <w:rPr>
          <w:rFonts w:ascii="Times New Roman" w:eastAsia="Times New Roman" w:hAnsi="Times New Roman" w:cs="Times New Roman"/>
          <w:spacing w:val="-2"/>
          <w:sz w:val="24"/>
          <w:szCs w:val="24"/>
          <w:highlight w:val="yellow"/>
        </w:rPr>
        <w:t xml:space="preserve"> Committee)</w:t>
      </w:r>
    </w:p>
    <w:p w14:paraId="6D8487E3"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105DFF90"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0121E09A"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0BB22AA6"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4D1AC659"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17381179" w14:textId="77777777" w:rsidR="006055D0" w:rsidRPr="006055D0" w:rsidRDefault="006055D0" w:rsidP="006055D0">
      <w:pPr>
        <w:widowControl w:val="0"/>
        <w:autoSpaceDE w:val="0"/>
        <w:autoSpaceDN w:val="0"/>
        <w:spacing w:before="166" w:line="240" w:lineRule="auto"/>
        <w:rPr>
          <w:rFonts w:ascii="Times New Roman" w:eastAsia="Times New Roman" w:hAnsi="Times New Roman" w:cs="Times New Roman"/>
          <w:sz w:val="20"/>
          <w:szCs w:val="24"/>
        </w:rPr>
      </w:pPr>
      <w:r w:rsidRPr="006055D0">
        <w:rPr>
          <w:rFonts w:ascii="Times New Roman" w:eastAsia="Times New Roman" w:hAnsi="Times New Roman" w:cs="Times New Roman"/>
          <w:noProof/>
          <w:sz w:val="24"/>
          <w:szCs w:val="24"/>
        </w:rPr>
        <mc:AlternateContent>
          <mc:Choice Requires="wps">
            <w:drawing>
              <wp:anchor distT="0" distB="0" distL="0" distR="0" simplePos="0" relativeHeight="251663360" behindDoc="1" locked="0" layoutInCell="1" allowOverlap="1" wp14:anchorId="78353890" wp14:editId="2CC7DC08">
                <wp:simplePos x="0" y="0"/>
                <wp:positionH relativeFrom="page">
                  <wp:posOffset>2575560</wp:posOffset>
                </wp:positionH>
                <wp:positionV relativeFrom="paragraph">
                  <wp:posOffset>267335</wp:posOffset>
                </wp:positionV>
                <wp:extent cx="2286000" cy="1270"/>
                <wp:effectExtent l="0" t="0" r="0" b="0"/>
                <wp:wrapTopAndBottom/>
                <wp:docPr id="1567928254"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9143">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870F1B" id="Graphic 5" o:spid="_x0000_s1026" style="position:absolute;margin-left:202.8pt;margin-top:21.05pt;width:180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" path="m,l2286000,e" filled="f" strokeweight=".25397mm">
                <v:path arrowok="t"/>
                <w10:wrap type="topAndBottom" anchorx="page"/>
              </v:shape>
            </w:pict>
          </mc:Fallback>
        </mc:AlternateContent>
      </w:r>
    </w:p>
    <w:p w14:paraId="5D03158A" w14:textId="77777777" w:rsidR="006055D0" w:rsidRPr="006055D0" w:rsidRDefault="006055D0" w:rsidP="006055D0">
      <w:pPr>
        <w:widowControl w:val="0"/>
        <w:autoSpaceDE w:val="0"/>
        <w:autoSpaceDN w:val="0"/>
        <w:spacing w:before="78" w:line="240" w:lineRule="auto"/>
        <w:rPr>
          <w:rFonts w:ascii="Times New Roman" w:eastAsia="Times New Roman" w:hAnsi="Times New Roman" w:cs="Times New Roman"/>
          <w:sz w:val="24"/>
          <w:szCs w:val="24"/>
        </w:rPr>
      </w:pPr>
    </w:p>
    <w:p w14:paraId="5A5E2D04" w14:textId="77777777" w:rsidR="006055D0" w:rsidRPr="0038502B" w:rsidRDefault="006055D0" w:rsidP="006055D0">
      <w:pPr>
        <w:widowControl w:val="0"/>
        <w:autoSpaceDE w:val="0"/>
        <w:autoSpaceDN w:val="0"/>
        <w:spacing w:line="240" w:lineRule="auto"/>
        <w:ind w:left="44" w:right="45"/>
        <w:jc w:val="center"/>
        <w:rPr>
          <w:rFonts w:ascii="Times New Roman" w:eastAsia="Times New Roman" w:hAnsi="Times New Roman" w:cs="Times New Roman"/>
          <w:sz w:val="24"/>
          <w:szCs w:val="24"/>
        </w:rPr>
      </w:pPr>
      <w:r w:rsidRPr="0038502B">
        <w:rPr>
          <w:rFonts w:ascii="Times New Roman" w:eastAsia="Arial" w:hAnsi="Times New Roman" w:cs="Times New Roman"/>
          <w:sz w:val="24"/>
          <w:szCs w:val="24"/>
        </w:rPr>
        <w:t>Dr Michael Udedi</w:t>
      </w:r>
      <w:r w:rsidRPr="0038502B">
        <w:rPr>
          <w:rFonts w:ascii="Times New Roman" w:eastAsia="Times New Roman" w:hAnsi="Times New Roman" w:cs="Times New Roman"/>
          <w:spacing w:val="1"/>
          <w:sz w:val="24"/>
          <w:szCs w:val="24"/>
        </w:rPr>
        <w:t xml:space="preserve"> </w:t>
      </w:r>
      <w:r w:rsidRPr="0038502B">
        <w:rPr>
          <w:rFonts w:ascii="Times New Roman" w:eastAsia="Times New Roman" w:hAnsi="Times New Roman" w:cs="Times New Roman"/>
          <w:spacing w:val="-2"/>
          <w:sz w:val="24"/>
          <w:szCs w:val="24"/>
        </w:rPr>
        <w:t>(Supervisor)</w:t>
      </w:r>
    </w:p>
    <w:p w14:paraId="69F1E325"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7FA3E378"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4D5A7B6A"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233D5F10"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04749C38"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0899B4B0" w14:textId="77777777" w:rsidR="006055D0" w:rsidRPr="006055D0" w:rsidRDefault="006055D0" w:rsidP="006055D0">
      <w:pPr>
        <w:widowControl w:val="0"/>
        <w:autoSpaceDE w:val="0"/>
        <w:autoSpaceDN w:val="0"/>
        <w:spacing w:before="123" w:line="240" w:lineRule="auto"/>
        <w:rPr>
          <w:rFonts w:ascii="Times New Roman" w:eastAsia="Times New Roman" w:hAnsi="Times New Roman" w:cs="Times New Roman"/>
          <w:sz w:val="20"/>
          <w:szCs w:val="24"/>
        </w:rPr>
      </w:pPr>
      <w:r w:rsidRPr="006055D0">
        <w:rPr>
          <w:rFonts w:ascii="Times New Roman" w:eastAsia="Times New Roman" w:hAnsi="Times New Roman" w:cs="Times New Roman"/>
          <w:noProof/>
          <w:sz w:val="24"/>
          <w:szCs w:val="24"/>
        </w:rPr>
        <mc:AlternateContent>
          <mc:Choice Requires="wps">
            <w:drawing>
              <wp:anchor distT="0" distB="0" distL="0" distR="0" simplePos="0" relativeHeight="251664384" behindDoc="1" locked="0" layoutInCell="1" allowOverlap="1" wp14:anchorId="0A50F228" wp14:editId="5E669470">
                <wp:simplePos x="0" y="0"/>
                <wp:positionH relativeFrom="page">
                  <wp:posOffset>2575560</wp:posOffset>
                </wp:positionH>
                <wp:positionV relativeFrom="paragraph">
                  <wp:posOffset>240030</wp:posOffset>
                </wp:positionV>
                <wp:extent cx="2286000" cy="1270"/>
                <wp:effectExtent l="0" t="0" r="0" b="0"/>
                <wp:wrapTopAndBottom/>
                <wp:docPr id="1418355618"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9144">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8FCCF7" id="Graphic 6" o:spid="_x0000_s1026" style="position:absolute;margin-left:202.8pt;margin-top:18.9pt;width:180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" path="m,l2286000,e" filled="f" strokeweight=".72pt">
                <v:path arrowok="t"/>
                <w10:wrap type="topAndBottom" anchorx="page"/>
              </v:shape>
            </w:pict>
          </mc:Fallback>
        </mc:AlternateContent>
      </w:r>
    </w:p>
    <w:p w14:paraId="0BB57B17" w14:textId="77777777" w:rsidR="006055D0" w:rsidRPr="006055D0" w:rsidRDefault="006055D0" w:rsidP="006055D0">
      <w:pPr>
        <w:widowControl w:val="0"/>
        <w:autoSpaceDE w:val="0"/>
        <w:autoSpaceDN w:val="0"/>
        <w:spacing w:before="121" w:line="240" w:lineRule="auto"/>
        <w:rPr>
          <w:rFonts w:ascii="Times New Roman" w:eastAsia="Times New Roman" w:hAnsi="Times New Roman" w:cs="Times New Roman"/>
          <w:sz w:val="24"/>
          <w:szCs w:val="24"/>
        </w:rPr>
      </w:pPr>
    </w:p>
    <w:p w14:paraId="4C3FC8D8" w14:textId="77777777" w:rsidR="006055D0" w:rsidRPr="006055D0" w:rsidRDefault="006055D0" w:rsidP="006055D0">
      <w:pPr>
        <w:widowControl w:val="0"/>
        <w:autoSpaceDE w:val="0"/>
        <w:autoSpaceDN w:val="0"/>
        <w:spacing w:line="240" w:lineRule="auto"/>
        <w:ind w:left="44" w:right="44"/>
        <w:jc w:val="center"/>
        <w:rPr>
          <w:rFonts w:ascii="Times New Roman" w:eastAsia="Times New Roman" w:hAnsi="Times New Roman" w:cs="Times New Roman"/>
          <w:sz w:val="24"/>
          <w:szCs w:val="24"/>
        </w:rPr>
      </w:pPr>
      <w:r w:rsidRPr="00313B92">
        <w:rPr>
          <w:rFonts w:ascii="Times New Roman" w:eastAsia="Times New Roman" w:hAnsi="Times New Roman" w:cs="Times New Roman"/>
          <w:sz w:val="24"/>
          <w:szCs w:val="24"/>
          <w:highlight w:val="yellow"/>
        </w:rPr>
        <w:t>Dr</w:t>
      </w:r>
      <w:r w:rsidRPr="00313B92">
        <w:rPr>
          <w:rFonts w:ascii="Times New Roman" w:eastAsia="Times New Roman" w:hAnsi="Times New Roman" w:cs="Times New Roman"/>
          <w:spacing w:val="-1"/>
          <w:sz w:val="24"/>
          <w:szCs w:val="24"/>
          <w:highlight w:val="yellow"/>
        </w:rPr>
        <w:t xml:space="preserve"> </w:t>
      </w:r>
      <w:r w:rsidRPr="00313B92">
        <w:rPr>
          <w:rFonts w:ascii="Times New Roman" w:eastAsia="Times New Roman" w:hAnsi="Times New Roman" w:cs="Times New Roman"/>
          <w:sz w:val="24"/>
          <w:szCs w:val="24"/>
          <w:highlight w:val="yellow"/>
        </w:rPr>
        <w:t>Z</w:t>
      </w:r>
      <w:r w:rsidRPr="00313B92">
        <w:rPr>
          <w:rFonts w:ascii="Times New Roman" w:eastAsia="Times New Roman" w:hAnsi="Times New Roman" w:cs="Times New Roman"/>
          <w:spacing w:val="-4"/>
          <w:sz w:val="24"/>
          <w:szCs w:val="24"/>
          <w:highlight w:val="yellow"/>
        </w:rPr>
        <w:t xml:space="preserve"> </w:t>
      </w:r>
      <w:r w:rsidRPr="00313B92">
        <w:rPr>
          <w:rFonts w:ascii="Times New Roman" w:eastAsia="Times New Roman" w:hAnsi="Times New Roman" w:cs="Times New Roman"/>
          <w:sz w:val="24"/>
          <w:szCs w:val="24"/>
          <w:highlight w:val="yellow"/>
        </w:rPr>
        <w:t>Phiri</w:t>
      </w:r>
      <w:r w:rsidRPr="00313B92">
        <w:rPr>
          <w:rFonts w:ascii="Times New Roman" w:eastAsia="Times New Roman" w:hAnsi="Times New Roman" w:cs="Times New Roman"/>
          <w:spacing w:val="-2"/>
          <w:sz w:val="24"/>
          <w:szCs w:val="24"/>
          <w:highlight w:val="yellow"/>
        </w:rPr>
        <w:t xml:space="preserve"> </w:t>
      </w:r>
      <w:r w:rsidRPr="00313B92">
        <w:rPr>
          <w:rFonts w:ascii="Times New Roman" w:eastAsia="Times New Roman" w:hAnsi="Times New Roman" w:cs="Times New Roman"/>
          <w:sz w:val="24"/>
          <w:szCs w:val="24"/>
          <w:highlight w:val="yellow"/>
        </w:rPr>
        <w:t>(Internal</w:t>
      </w:r>
      <w:r w:rsidRPr="00313B92">
        <w:rPr>
          <w:rFonts w:ascii="Times New Roman" w:eastAsia="Times New Roman" w:hAnsi="Times New Roman" w:cs="Times New Roman"/>
          <w:spacing w:val="-1"/>
          <w:sz w:val="24"/>
          <w:szCs w:val="24"/>
          <w:highlight w:val="yellow"/>
        </w:rPr>
        <w:t xml:space="preserve"> </w:t>
      </w:r>
      <w:r w:rsidRPr="00313B92">
        <w:rPr>
          <w:rFonts w:ascii="Times New Roman" w:eastAsia="Times New Roman" w:hAnsi="Times New Roman" w:cs="Times New Roman"/>
          <w:spacing w:val="-2"/>
          <w:sz w:val="24"/>
          <w:szCs w:val="24"/>
          <w:highlight w:val="yellow"/>
        </w:rPr>
        <w:t>Examiner)</w:t>
      </w:r>
    </w:p>
    <w:p w14:paraId="4608D5BE"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5BFCBA9B"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098FAB52"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67AC288D"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529C992A"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5CACC855" w14:textId="77777777" w:rsidR="006055D0" w:rsidRPr="006055D0" w:rsidRDefault="006055D0" w:rsidP="006055D0">
      <w:pPr>
        <w:widowControl w:val="0"/>
        <w:autoSpaceDE w:val="0"/>
        <w:autoSpaceDN w:val="0"/>
        <w:spacing w:before="140" w:line="240" w:lineRule="auto"/>
        <w:rPr>
          <w:rFonts w:ascii="Times New Roman" w:eastAsia="Times New Roman" w:hAnsi="Times New Roman" w:cs="Times New Roman"/>
          <w:sz w:val="20"/>
          <w:szCs w:val="24"/>
        </w:rPr>
      </w:pPr>
      <w:r w:rsidRPr="006055D0">
        <w:rPr>
          <w:rFonts w:ascii="Times New Roman" w:eastAsia="Times New Roman" w:hAnsi="Times New Roman" w:cs="Times New Roman"/>
          <w:noProof/>
          <w:sz w:val="24"/>
          <w:szCs w:val="24"/>
        </w:rPr>
        <mc:AlternateContent>
          <mc:Choice Requires="wps">
            <w:drawing>
              <wp:anchor distT="0" distB="0" distL="0" distR="0" simplePos="0" relativeHeight="251665408" behindDoc="1" locked="0" layoutInCell="1" allowOverlap="1" wp14:anchorId="20597776" wp14:editId="2348BD7D">
                <wp:simplePos x="0" y="0"/>
                <wp:positionH relativeFrom="page">
                  <wp:posOffset>2575560</wp:posOffset>
                </wp:positionH>
                <wp:positionV relativeFrom="paragraph">
                  <wp:posOffset>250825</wp:posOffset>
                </wp:positionV>
                <wp:extent cx="2286000" cy="1270"/>
                <wp:effectExtent l="0" t="0" r="0" b="0"/>
                <wp:wrapTopAndBottom/>
                <wp:docPr id="55733673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9144">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F96C91" id="Graphic 7" o:spid="_x0000_s1026" style="position:absolute;margin-left:202.8pt;margin-top:19.75pt;width:180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" path="m,l2286000,e" filled="f" strokeweight=".72pt">
                <v:path arrowok="t"/>
                <w10:wrap type="topAndBottom" anchorx="page"/>
              </v:shape>
            </w:pict>
          </mc:Fallback>
        </mc:AlternateContent>
      </w:r>
    </w:p>
    <w:p w14:paraId="6B8E4A2E" w14:textId="77777777" w:rsidR="006055D0" w:rsidRPr="006055D0" w:rsidRDefault="006055D0" w:rsidP="006055D0">
      <w:pPr>
        <w:widowControl w:val="0"/>
        <w:autoSpaceDE w:val="0"/>
        <w:autoSpaceDN w:val="0"/>
        <w:spacing w:before="104" w:line="240" w:lineRule="auto"/>
        <w:rPr>
          <w:rFonts w:ascii="Times New Roman" w:eastAsia="Times New Roman" w:hAnsi="Times New Roman" w:cs="Times New Roman"/>
          <w:sz w:val="24"/>
          <w:szCs w:val="24"/>
        </w:rPr>
      </w:pPr>
    </w:p>
    <w:p w14:paraId="4CC0B6BA" w14:textId="44701B40" w:rsidR="00FD2383" w:rsidRDefault="006055D0" w:rsidP="006055D0">
      <w:pPr>
        <w:widowControl w:val="0"/>
        <w:autoSpaceDE w:val="0"/>
        <w:autoSpaceDN w:val="0"/>
        <w:spacing w:line="240" w:lineRule="auto"/>
        <w:ind w:left="44" w:right="45"/>
        <w:jc w:val="center"/>
        <w:rPr>
          <w:rFonts w:ascii="Times New Roman" w:eastAsia="Times New Roman" w:hAnsi="Times New Roman" w:cs="Times New Roman"/>
          <w:spacing w:val="-2"/>
          <w:sz w:val="24"/>
          <w:szCs w:val="24"/>
          <w:highlight w:val="yellow"/>
        </w:rPr>
      </w:pPr>
      <w:r w:rsidRPr="00313B92">
        <w:rPr>
          <w:rFonts w:ascii="Times New Roman" w:eastAsia="Times New Roman" w:hAnsi="Times New Roman" w:cs="Times New Roman"/>
          <w:sz w:val="24"/>
          <w:szCs w:val="24"/>
          <w:highlight w:val="yellow"/>
        </w:rPr>
        <w:t>Dr</w:t>
      </w:r>
      <w:r w:rsidRPr="00313B92">
        <w:rPr>
          <w:rFonts w:ascii="Times New Roman" w:eastAsia="Times New Roman" w:hAnsi="Times New Roman" w:cs="Times New Roman"/>
          <w:spacing w:val="-2"/>
          <w:sz w:val="24"/>
          <w:szCs w:val="24"/>
          <w:highlight w:val="yellow"/>
        </w:rPr>
        <w:t xml:space="preserve"> </w:t>
      </w:r>
      <w:r w:rsidRPr="00313B92">
        <w:rPr>
          <w:rFonts w:ascii="Times New Roman" w:eastAsia="Times New Roman" w:hAnsi="Times New Roman" w:cs="Times New Roman"/>
          <w:sz w:val="24"/>
          <w:szCs w:val="24"/>
          <w:highlight w:val="yellow"/>
        </w:rPr>
        <w:t>G</w:t>
      </w:r>
      <w:r w:rsidRPr="00313B92">
        <w:rPr>
          <w:rFonts w:ascii="Times New Roman" w:eastAsia="Times New Roman" w:hAnsi="Times New Roman" w:cs="Times New Roman"/>
          <w:spacing w:val="-2"/>
          <w:sz w:val="24"/>
          <w:szCs w:val="24"/>
          <w:highlight w:val="yellow"/>
        </w:rPr>
        <w:t xml:space="preserve"> </w:t>
      </w:r>
      <w:r w:rsidRPr="00313B92">
        <w:rPr>
          <w:rFonts w:ascii="Times New Roman" w:eastAsia="Times New Roman" w:hAnsi="Times New Roman" w:cs="Times New Roman"/>
          <w:sz w:val="24"/>
          <w:szCs w:val="24"/>
          <w:highlight w:val="yellow"/>
        </w:rPr>
        <w:t>Chapotera</w:t>
      </w:r>
      <w:r w:rsidRPr="00313B92">
        <w:rPr>
          <w:rFonts w:ascii="Times New Roman" w:eastAsia="Times New Roman" w:hAnsi="Times New Roman" w:cs="Times New Roman"/>
          <w:spacing w:val="-2"/>
          <w:sz w:val="24"/>
          <w:szCs w:val="24"/>
          <w:highlight w:val="yellow"/>
        </w:rPr>
        <w:t xml:space="preserve"> </w:t>
      </w:r>
      <w:r w:rsidRPr="00313B92">
        <w:rPr>
          <w:rFonts w:ascii="Times New Roman" w:eastAsia="Times New Roman" w:hAnsi="Times New Roman" w:cs="Times New Roman"/>
          <w:sz w:val="24"/>
          <w:szCs w:val="24"/>
          <w:highlight w:val="yellow"/>
        </w:rPr>
        <w:t>(Head</w:t>
      </w:r>
      <w:r w:rsidRPr="00313B92">
        <w:rPr>
          <w:rFonts w:ascii="Times New Roman" w:eastAsia="Times New Roman" w:hAnsi="Times New Roman" w:cs="Times New Roman"/>
          <w:spacing w:val="-1"/>
          <w:sz w:val="24"/>
          <w:szCs w:val="24"/>
          <w:highlight w:val="yellow"/>
        </w:rPr>
        <w:t xml:space="preserve"> </w:t>
      </w:r>
      <w:r w:rsidRPr="00313B92">
        <w:rPr>
          <w:rFonts w:ascii="Times New Roman" w:eastAsia="Times New Roman" w:hAnsi="Times New Roman" w:cs="Times New Roman"/>
          <w:sz w:val="24"/>
          <w:szCs w:val="24"/>
          <w:highlight w:val="yellow"/>
        </w:rPr>
        <w:t>of</w:t>
      </w:r>
      <w:r w:rsidRPr="00313B92">
        <w:rPr>
          <w:rFonts w:ascii="Times New Roman" w:eastAsia="Times New Roman" w:hAnsi="Times New Roman" w:cs="Times New Roman"/>
          <w:spacing w:val="1"/>
          <w:sz w:val="24"/>
          <w:szCs w:val="24"/>
          <w:highlight w:val="yellow"/>
        </w:rPr>
        <w:t xml:space="preserve"> </w:t>
      </w:r>
      <w:r w:rsidRPr="00313B92">
        <w:rPr>
          <w:rFonts w:ascii="Times New Roman" w:eastAsia="Times New Roman" w:hAnsi="Times New Roman" w:cs="Times New Roman"/>
          <w:spacing w:val="-2"/>
          <w:sz w:val="24"/>
          <w:szCs w:val="24"/>
          <w:highlight w:val="yellow"/>
        </w:rPr>
        <w:t>Department)</w:t>
      </w:r>
      <w:r w:rsidR="00FD2383">
        <w:rPr>
          <w:rFonts w:ascii="Times New Roman" w:eastAsia="Times New Roman" w:hAnsi="Times New Roman" w:cs="Times New Roman"/>
          <w:spacing w:val="-2"/>
          <w:sz w:val="24"/>
          <w:szCs w:val="24"/>
        </w:rPr>
        <w:t xml:space="preserve"> </w:t>
      </w:r>
      <w:r w:rsidR="00FD2383">
        <w:rPr>
          <w:rFonts w:ascii="Times New Roman" w:eastAsia="Times New Roman" w:hAnsi="Times New Roman" w:cs="Times New Roman"/>
          <w:spacing w:val="-2"/>
          <w:sz w:val="24"/>
          <w:szCs w:val="24"/>
          <w:highlight w:val="yellow"/>
        </w:rPr>
        <w:br w:type="page"/>
      </w:r>
    </w:p>
    <w:p w14:paraId="1BD23141" w14:textId="77777777" w:rsidR="006055D0" w:rsidRPr="006055D0" w:rsidRDefault="006055D0" w:rsidP="006055D0">
      <w:pPr>
        <w:widowControl w:val="0"/>
        <w:autoSpaceDE w:val="0"/>
        <w:autoSpaceDN w:val="0"/>
        <w:spacing w:line="240" w:lineRule="auto"/>
        <w:ind w:left="44" w:right="45"/>
        <w:jc w:val="center"/>
        <w:rPr>
          <w:rFonts w:ascii="Times New Roman" w:eastAsia="Times New Roman" w:hAnsi="Times New Roman" w:cs="Times New Roman"/>
          <w:sz w:val="24"/>
          <w:szCs w:val="24"/>
        </w:rPr>
      </w:pPr>
    </w:p>
    <w:p w14:paraId="5B3B0416" w14:textId="46E2CBE2" w:rsidR="006055D0" w:rsidRPr="006055D0" w:rsidRDefault="00105C81" w:rsidP="00985840">
      <w:pPr>
        <w:pStyle w:val="Heading1"/>
        <w:numPr>
          <w:ilvl w:val="0"/>
          <w:numId w:val="0"/>
        </w:numPr>
        <w:ind w:left="432"/>
      </w:pPr>
      <w:bookmarkStart w:id="2" w:name="_TOC_250004"/>
      <w:bookmarkStart w:id="3" w:name="_Toc232844517"/>
      <w:bookmarkStart w:id="4" w:name="_Toc232850301"/>
      <w:bookmarkEnd w:id="2"/>
      <w:r>
        <w:t>D</w:t>
      </w:r>
      <w:r w:rsidRPr="006055D0">
        <w:t>eclaration</w:t>
      </w:r>
      <w:bookmarkEnd w:id="3"/>
      <w:bookmarkEnd w:id="4"/>
    </w:p>
    <w:p w14:paraId="0795723E" w14:textId="77777777" w:rsidR="006055D0" w:rsidRPr="006055D0" w:rsidRDefault="006055D0" w:rsidP="006055D0">
      <w:pPr>
        <w:widowControl w:val="0"/>
        <w:autoSpaceDE w:val="0"/>
        <w:autoSpaceDN w:val="0"/>
        <w:spacing w:before="272" w:line="240" w:lineRule="auto"/>
        <w:rPr>
          <w:rFonts w:ascii="Times New Roman" w:eastAsia="Times New Roman" w:hAnsi="Times New Roman" w:cs="Times New Roman"/>
          <w:b/>
          <w:sz w:val="24"/>
          <w:szCs w:val="24"/>
        </w:rPr>
      </w:pPr>
    </w:p>
    <w:p w14:paraId="0B4C5739" w14:textId="0AFF4D25" w:rsidR="006055D0" w:rsidRPr="0038502B" w:rsidRDefault="006055D0" w:rsidP="006055D0">
      <w:pPr>
        <w:widowControl w:val="0"/>
        <w:autoSpaceDE w:val="0"/>
        <w:autoSpaceDN w:val="0"/>
        <w:spacing w:line="480" w:lineRule="auto"/>
        <w:ind w:left="162" w:right="160"/>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 xml:space="preserve">I </w:t>
      </w:r>
      <w:r w:rsidRPr="0038502B">
        <w:rPr>
          <w:rFonts w:ascii="Times New Roman" w:eastAsia="Arial" w:hAnsi="Times New Roman" w:cs="Times New Roman"/>
          <w:sz w:val="24"/>
          <w:szCs w:val="24"/>
        </w:rPr>
        <w:t>Chawanangwa N Khuwi</w:t>
      </w:r>
      <w:r w:rsidRPr="0038502B">
        <w:rPr>
          <w:rFonts w:ascii="Times New Roman" w:eastAsia="Times New Roman" w:hAnsi="Times New Roman" w:cs="Times New Roman"/>
          <w:spacing w:val="12"/>
          <w:sz w:val="24"/>
          <w:szCs w:val="24"/>
        </w:rPr>
        <w:t xml:space="preserve"> </w:t>
      </w:r>
      <w:r w:rsidRPr="0038502B">
        <w:rPr>
          <w:rFonts w:ascii="Times New Roman" w:eastAsia="Times New Roman" w:hAnsi="Times New Roman" w:cs="Times New Roman"/>
          <w:sz w:val="24"/>
          <w:szCs w:val="24"/>
        </w:rPr>
        <w:t>hereby declare that</w:t>
      </w:r>
      <w:r w:rsidRPr="0038502B">
        <w:rPr>
          <w:rFonts w:ascii="Times New Roman" w:eastAsia="Times New Roman" w:hAnsi="Times New Roman" w:cs="Times New Roman"/>
          <w:spacing w:val="12"/>
          <w:sz w:val="24"/>
          <w:szCs w:val="24"/>
        </w:rPr>
        <w:t xml:space="preserve"> </w:t>
      </w:r>
      <w:r w:rsidRPr="0038502B">
        <w:rPr>
          <w:rFonts w:ascii="Times New Roman" w:eastAsia="Times New Roman" w:hAnsi="Times New Roman" w:cs="Times New Roman"/>
          <w:sz w:val="24"/>
          <w:szCs w:val="24"/>
        </w:rPr>
        <w:t>this</w:t>
      </w:r>
      <w:r w:rsidRPr="0038502B">
        <w:rPr>
          <w:rFonts w:ascii="Times New Roman" w:eastAsia="Times New Roman" w:hAnsi="Times New Roman" w:cs="Times New Roman"/>
          <w:spacing w:val="12"/>
          <w:sz w:val="24"/>
          <w:szCs w:val="24"/>
        </w:rPr>
        <w:t xml:space="preserve"> </w:t>
      </w:r>
      <w:r w:rsidRPr="0038502B">
        <w:rPr>
          <w:rFonts w:ascii="Times New Roman" w:eastAsia="Times New Roman" w:hAnsi="Times New Roman" w:cs="Times New Roman"/>
          <w:sz w:val="24"/>
          <w:szCs w:val="24"/>
        </w:rPr>
        <w:t>dissertation</w:t>
      </w:r>
      <w:r w:rsidRPr="0038502B">
        <w:rPr>
          <w:rFonts w:ascii="Times New Roman" w:eastAsia="Times New Roman" w:hAnsi="Times New Roman" w:cs="Times New Roman"/>
          <w:spacing w:val="12"/>
          <w:sz w:val="24"/>
          <w:szCs w:val="24"/>
        </w:rPr>
        <w:t xml:space="preserve"> </w:t>
      </w:r>
      <w:r w:rsidRPr="0038502B">
        <w:rPr>
          <w:rFonts w:ascii="Times New Roman" w:eastAsia="Times New Roman" w:hAnsi="Times New Roman" w:cs="Times New Roman"/>
          <w:sz w:val="24"/>
          <w:szCs w:val="24"/>
        </w:rPr>
        <w:t>is my original</w:t>
      </w:r>
      <w:r w:rsidRPr="0038502B">
        <w:rPr>
          <w:rFonts w:ascii="Times New Roman" w:eastAsia="Times New Roman" w:hAnsi="Times New Roman" w:cs="Times New Roman"/>
          <w:spacing w:val="12"/>
          <w:sz w:val="24"/>
          <w:szCs w:val="24"/>
        </w:rPr>
        <w:t xml:space="preserve"> </w:t>
      </w:r>
      <w:r w:rsidRPr="0038502B">
        <w:rPr>
          <w:rFonts w:ascii="Times New Roman" w:eastAsia="Times New Roman" w:hAnsi="Times New Roman" w:cs="Times New Roman"/>
          <w:sz w:val="24"/>
          <w:szCs w:val="24"/>
        </w:rPr>
        <w:t>work</w:t>
      </w:r>
      <w:r w:rsidRPr="0038502B">
        <w:rPr>
          <w:rFonts w:ascii="Times New Roman" w:eastAsia="Times New Roman" w:hAnsi="Times New Roman" w:cs="Times New Roman"/>
          <w:spacing w:val="14"/>
          <w:sz w:val="24"/>
          <w:szCs w:val="24"/>
        </w:rPr>
        <w:t xml:space="preserve"> </w:t>
      </w:r>
      <w:r w:rsidRPr="0038502B">
        <w:rPr>
          <w:rFonts w:ascii="Times New Roman" w:eastAsia="Times New Roman" w:hAnsi="Times New Roman" w:cs="Times New Roman"/>
          <w:sz w:val="24"/>
          <w:szCs w:val="24"/>
        </w:rPr>
        <w:t>and</w:t>
      </w:r>
      <w:r w:rsidRPr="0038502B">
        <w:rPr>
          <w:rFonts w:ascii="Times New Roman" w:eastAsia="Times New Roman" w:hAnsi="Times New Roman" w:cs="Times New Roman"/>
          <w:spacing w:val="12"/>
          <w:sz w:val="24"/>
          <w:szCs w:val="24"/>
        </w:rPr>
        <w:t xml:space="preserve"> </w:t>
      </w:r>
      <w:r w:rsidRPr="0038502B">
        <w:rPr>
          <w:rFonts w:ascii="Times New Roman" w:eastAsia="Times New Roman" w:hAnsi="Times New Roman" w:cs="Times New Roman"/>
          <w:sz w:val="24"/>
          <w:szCs w:val="24"/>
        </w:rPr>
        <w:t>has</w:t>
      </w:r>
      <w:r w:rsidRPr="0038502B">
        <w:rPr>
          <w:rFonts w:ascii="Times New Roman" w:eastAsia="Times New Roman" w:hAnsi="Times New Roman" w:cs="Times New Roman"/>
          <w:spacing w:val="12"/>
          <w:sz w:val="24"/>
          <w:szCs w:val="24"/>
        </w:rPr>
        <w:t xml:space="preserve"> </w:t>
      </w:r>
      <w:r w:rsidRPr="0038502B">
        <w:rPr>
          <w:rFonts w:ascii="Times New Roman" w:eastAsia="Times New Roman" w:hAnsi="Times New Roman" w:cs="Times New Roman"/>
          <w:sz w:val="24"/>
          <w:szCs w:val="24"/>
        </w:rPr>
        <w:t>not</w:t>
      </w:r>
      <w:r w:rsidRPr="0038502B">
        <w:rPr>
          <w:rFonts w:ascii="Times New Roman" w:eastAsia="Times New Roman" w:hAnsi="Times New Roman" w:cs="Times New Roman"/>
          <w:spacing w:val="12"/>
          <w:sz w:val="24"/>
          <w:szCs w:val="24"/>
        </w:rPr>
        <w:t xml:space="preserve"> </w:t>
      </w:r>
      <w:r w:rsidRPr="0038502B">
        <w:rPr>
          <w:rFonts w:ascii="Times New Roman" w:eastAsia="Times New Roman" w:hAnsi="Times New Roman" w:cs="Times New Roman"/>
          <w:sz w:val="24"/>
          <w:szCs w:val="24"/>
        </w:rPr>
        <w:t>been</w:t>
      </w:r>
      <w:r w:rsidRPr="0038502B">
        <w:rPr>
          <w:rFonts w:ascii="Times New Roman" w:eastAsia="Times New Roman" w:hAnsi="Times New Roman" w:cs="Times New Roman"/>
          <w:spacing w:val="12"/>
          <w:sz w:val="24"/>
          <w:szCs w:val="24"/>
        </w:rPr>
        <w:t xml:space="preserve"> </w:t>
      </w:r>
      <w:r w:rsidR="00313B92" w:rsidRPr="0038502B">
        <w:rPr>
          <w:rFonts w:ascii="Times New Roman" w:eastAsia="Times New Roman" w:hAnsi="Times New Roman" w:cs="Times New Roman"/>
          <w:sz w:val="24"/>
          <w:szCs w:val="24"/>
        </w:rPr>
        <w:t>presented</w:t>
      </w:r>
      <w:r w:rsidRPr="0038502B">
        <w:rPr>
          <w:rFonts w:ascii="Times New Roman" w:eastAsia="Times New Roman" w:hAnsi="Times New Roman" w:cs="Times New Roman"/>
          <w:sz w:val="24"/>
          <w:szCs w:val="24"/>
        </w:rPr>
        <w:t xml:space="preserve"> for any other awards at the University of Malawi or any other University.</w:t>
      </w:r>
    </w:p>
    <w:p w14:paraId="0ABACDA3" w14:textId="77777777" w:rsidR="006055D0" w:rsidRPr="0038502B" w:rsidRDefault="006055D0" w:rsidP="006055D0">
      <w:pPr>
        <w:widowControl w:val="0"/>
        <w:autoSpaceDE w:val="0"/>
        <w:autoSpaceDN w:val="0"/>
        <w:spacing w:line="240" w:lineRule="auto"/>
        <w:rPr>
          <w:rFonts w:ascii="Times New Roman" w:eastAsia="Times New Roman" w:hAnsi="Times New Roman" w:cs="Times New Roman"/>
          <w:sz w:val="24"/>
          <w:szCs w:val="24"/>
        </w:rPr>
      </w:pPr>
    </w:p>
    <w:p w14:paraId="3B6FA9AE" w14:textId="77777777" w:rsidR="006055D0" w:rsidRPr="0038502B" w:rsidRDefault="006055D0" w:rsidP="006055D0">
      <w:pPr>
        <w:widowControl w:val="0"/>
        <w:autoSpaceDE w:val="0"/>
        <w:autoSpaceDN w:val="0"/>
        <w:spacing w:line="240" w:lineRule="auto"/>
        <w:rPr>
          <w:rFonts w:ascii="Times New Roman" w:eastAsia="Times New Roman" w:hAnsi="Times New Roman" w:cs="Times New Roman"/>
          <w:sz w:val="24"/>
          <w:szCs w:val="24"/>
        </w:rPr>
      </w:pPr>
    </w:p>
    <w:p w14:paraId="45CD4561" w14:textId="77777777" w:rsidR="006055D0" w:rsidRPr="0038502B" w:rsidRDefault="006055D0" w:rsidP="006055D0">
      <w:pPr>
        <w:widowControl w:val="0"/>
        <w:autoSpaceDE w:val="0"/>
        <w:autoSpaceDN w:val="0"/>
        <w:spacing w:line="240" w:lineRule="auto"/>
        <w:rPr>
          <w:rFonts w:ascii="Times New Roman" w:eastAsia="Times New Roman" w:hAnsi="Times New Roman" w:cs="Times New Roman"/>
          <w:sz w:val="24"/>
          <w:szCs w:val="24"/>
        </w:rPr>
      </w:pPr>
    </w:p>
    <w:p w14:paraId="6EEB683C" w14:textId="77777777" w:rsidR="006055D0" w:rsidRPr="0038502B" w:rsidRDefault="006055D0" w:rsidP="006055D0">
      <w:pPr>
        <w:widowControl w:val="0"/>
        <w:autoSpaceDE w:val="0"/>
        <w:autoSpaceDN w:val="0"/>
        <w:spacing w:line="240" w:lineRule="auto"/>
        <w:rPr>
          <w:rFonts w:ascii="Times New Roman" w:eastAsia="Times New Roman" w:hAnsi="Times New Roman" w:cs="Times New Roman"/>
          <w:sz w:val="24"/>
          <w:szCs w:val="24"/>
        </w:rPr>
      </w:pPr>
    </w:p>
    <w:p w14:paraId="580AC95F" w14:textId="77777777" w:rsidR="006055D0" w:rsidRPr="0038502B" w:rsidRDefault="006055D0" w:rsidP="006055D0">
      <w:pPr>
        <w:widowControl w:val="0"/>
        <w:tabs>
          <w:tab w:val="left" w:pos="3042"/>
        </w:tabs>
        <w:autoSpaceDE w:val="0"/>
        <w:autoSpaceDN w:val="0"/>
        <w:spacing w:line="240" w:lineRule="auto"/>
        <w:ind w:left="162"/>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Name</w:t>
      </w:r>
      <w:r w:rsidRPr="0038502B">
        <w:rPr>
          <w:rFonts w:ascii="Times New Roman" w:eastAsia="Times New Roman" w:hAnsi="Times New Roman" w:cs="Times New Roman"/>
          <w:spacing w:val="-2"/>
          <w:sz w:val="24"/>
          <w:szCs w:val="24"/>
        </w:rPr>
        <w:t xml:space="preserve"> </w:t>
      </w:r>
      <w:r w:rsidRPr="0038502B">
        <w:rPr>
          <w:rFonts w:ascii="Times New Roman" w:eastAsia="Times New Roman" w:hAnsi="Times New Roman" w:cs="Times New Roman"/>
          <w:sz w:val="24"/>
          <w:szCs w:val="24"/>
        </w:rPr>
        <w:t>of</w:t>
      </w:r>
      <w:r w:rsidRPr="0038502B">
        <w:rPr>
          <w:rFonts w:ascii="Times New Roman" w:eastAsia="Times New Roman" w:hAnsi="Times New Roman" w:cs="Times New Roman"/>
          <w:spacing w:val="-2"/>
          <w:sz w:val="24"/>
          <w:szCs w:val="24"/>
        </w:rPr>
        <w:t xml:space="preserve"> Candidate</w:t>
      </w:r>
      <w:r w:rsidRPr="0038502B">
        <w:rPr>
          <w:rFonts w:ascii="Times New Roman" w:eastAsia="Times New Roman" w:hAnsi="Times New Roman" w:cs="Times New Roman"/>
          <w:sz w:val="24"/>
          <w:szCs w:val="24"/>
        </w:rPr>
        <w:tab/>
      </w:r>
      <w:r w:rsidRPr="0038502B">
        <w:rPr>
          <w:rFonts w:ascii="Times New Roman" w:eastAsia="Arial" w:hAnsi="Times New Roman" w:cs="Times New Roman"/>
          <w:sz w:val="24"/>
          <w:szCs w:val="24"/>
        </w:rPr>
        <w:t>Chawanangwa N Khuwi</w:t>
      </w:r>
    </w:p>
    <w:p w14:paraId="30DC19DA" w14:textId="77777777" w:rsidR="006055D0" w:rsidRPr="0038502B"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06D89FF5" w14:textId="77777777" w:rsidR="006055D0" w:rsidRPr="0038502B" w:rsidRDefault="006055D0" w:rsidP="006055D0">
      <w:pPr>
        <w:widowControl w:val="0"/>
        <w:autoSpaceDE w:val="0"/>
        <w:autoSpaceDN w:val="0"/>
        <w:spacing w:line="240" w:lineRule="auto"/>
        <w:rPr>
          <w:rFonts w:ascii="Times New Roman" w:eastAsia="Times New Roman" w:hAnsi="Times New Roman" w:cs="Times New Roman"/>
          <w:sz w:val="20"/>
          <w:szCs w:val="24"/>
        </w:rPr>
      </w:pPr>
    </w:p>
    <w:p w14:paraId="3F7D32BA" w14:textId="77777777" w:rsidR="006055D0" w:rsidRPr="0038502B" w:rsidRDefault="006055D0" w:rsidP="006055D0">
      <w:pPr>
        <w:widowControl w:val="0"/>
        <w:autoSpaceDE w:val="0"/>
        <w:autoSpaceDN w:val="0"/>
        <w:spacing w:before="177" w:line="240" w:lineRule="auto"/>
        <w:rPr>
          <w:rFonts w:ascii="Times New Roman" w:eastAsia="Times New Roman" w:hAnsi="Times New Roman" w:cs="Times New Roman"/>
          <w:sz w:val="20"/>
          <w:szCs w:val="24"/>
        </w:rPr>
      </w:pPr>
      <w:r w:rsidRPr="0038502B">
        <w:rPr>
          <w:rFonts w:ascii="Times New Roman" w:eastAsia="Times New Roman" w:hAnsi="Times New Roman" w:cs="Times New Roman"/>
          <w:noProof/>
          <w:sz w:val="24"/>
          <w:szCs w:val="24"/>
        </w:rPr>
        <mc:AlternateContent>
          <mc:Choice Requires="wps">
            <w:drawing>
              <wp:anchor distT="0" distB="0" distL="0" distR="0" simplePos="0" relativeHeight="251666432" behindDoc="1" locked="0" layoutInCell="1" allowOverlap="1" wp14:anchorId="389A3329" wp14:editId="0EA98211">
                <wp:simplePos x="0" y="0"/>
                <wp:positionH relativeFrom="page">
                  <wp:posOffset>2651760</wp:posOffset>
                </wp:positionH>
                <wp:positionV relativeFrom="paragraph">
                  <wp:posOffset>273685</wp:posOffset>
                </wp:positionV>
                <wp:extent cx="2286000" cy="1270"/>
                <wp:effectExtent l="0" t="0" r="0" b="0"/>
                <wp:wrapTopAndBottom/>
                <wp:docPr id="38909266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9144">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0C23A7" id="Graphic 8" o:spid="_x0000_s1026" style="position:absolute;margin-left:208.8pt;margin-top:21.55pt;width:180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" path="m,l2286000,e" filled="f" strokeweight=".72pt">
                <v:path arrowok="t"/>
                <w10:wrap type="topAndBottom" anchorx="page"/>
              </v:shape>
            </w:pict>
          </mc:Fallback>
        </mc:AlternateContent>
      </w:r>
    </w:p>
    <w:p w14:paraId="410FD04E" w14:textId="77777777" w:rsidR="006055D0" w:rsidRPr="0038502B" w:rsidRDefault="006055D0" w:rsidP="006055D0">
      <w:pPr>
        <w:widowControl w:val="0"/>
        <w:autoSpaceDE w:val="0"/>
        <w:autoSpaceDN w:val="0"/>
        <w:spacing w:line="240" w:lineRule="auto"/>
        <w:ind w:left="162"/>
        <w:rPr>
          <w:rFonts w:ascii="Times New Roman" w:eastAsia="Times New Roman" w:hAnsi="Times New Roman" w:cs="Times New Roman"/>
          <w:sz w:val="24"/>
          <w:szCs w:val="24"/>
        </w:rPr>
      </w:pPr>
      <w:r w:rsidRPr="0038502B">
        <w:rPr>
          <w:rFonts w:ascii="Times New Roman" w:eastAsia="Times New Roman" w:hAnsi="Times New Roman" w:cs="Times New Roman"/>
          <w:spacing w:val="-2"/>
          <w:sz w:val="24"/>
          <w:szCs w:val="24"/>
        </w:rPr>
        <w:t>Signature</w:t>
      </w:r>
    </w:p>
    <w:p w14:paraId="16B705CC" w14:textId="77777777" w:rsidR="006055D0" w:rsidRPr="0038502B" w:rsidRDefault="006055D0" w:rsidP="006055D0">
      <w:pPr>
        <w:widowControl w:val="0"/>
        <w:autoSpaceDE w:val="0"/>
        <w:autoSpaceDN w:val="0"/>
        <w:spacing w:line="240" w:lineRule="auto"/>
        <w:rPr>
          <w:rFonts w:ascii="Times New Roman" w:eastAsia="Times New Roman" w:hAnsi="Times New Roman" w:cs="Times New Roman"/>
          <w:sz w:val="24"/>
          <w:szCs w:val="24"/>
        </w:rPr>
      </w:pPr>
    </w:p>
    <w:p w14:paraId="06662533" w14:textId="77777777" w:rsidR="006055D0" w:rsidRPr="0038502B" w:rsidRDefault="006055D0" w:rsidP="006055D0">
      <w:pPr>
        <w:widowControl w:val="0"/>
        <w:autoSpaceDE w:val="0"/>
        <w:autoSpaceDN w:val="0"/>
        <w:spacing w:before="206" w:line="240" w:lineRule="auto"/>
        <w:rPr>
          <w:rFonts w:ascii="Times New Roman" w:eastAsia="Times New Roman" w:hAnsi="Times New Roman" w:cs="Times New Roman"/>
          <w:sz w:val="24"/>
          <w:szCs w:val="24"/>
        </w:rPr>
      </w:pPr>
    </w:p>
    <w:p w14:paraId="1345DB32" w14:textId="77777777" w:rsidR="00254505" w:rsidRDefault="006055D0" w:rsidP="00254505">
      <w:pPr>
        <w:widowControl w:val="0"/>
        <w:tabs>
          <w:tab w:val="left" w:pos="3042"/>
        </w:tabs>
        <w:autoSpaceDE w:val="0"/>
        <w:autoSpaceDN w:val="0"/>
        <w:spacing w:line="240" w:lineRule="auto"/>
        <w:ind w:left="162"/>
        <w:rPr>
          <w:rFonts w:ascii="Times New Roman" w:eastAsia="Times New Roman" w:hAnsi="Times New Roman" w:cs="Times New Roman"/>
          <w:spacing w:val="-4"/>
          <w:sz w:val="24"/>
          <w:szCs w:val="24"/>
        </w:rPr>
      </w:pPr>
      <w:r w:rsidRPr="0038502B">
        <w:rPr>
          <w:rFonts w:ascii="Times New Roman" w:eastAsia="Times New Roman" w:hAnsi="Times New Roman" w:cs="Times New Roman"/>
          <w:spacing w:val="-4"/>
          <w:sz w:val="24"/>
          <w:szCs w:val="24"/>
        </w:rPr>
        <w:t>Date</w:t>
      </w:r>
      <w:r w:rsidRPr="0038502B">
        <w:rPr>
          <w:rFonts w:ascii="Times New Roman" w:eastAsia="Times New Roman" w:hAnsi="Times New Roman" w:cs="Times New Roman"/>
          <w:sz w:val="24"/>
          <w:szCs w:val="24"/>
        </w:rPr>
        <w:tab/>
        <w:t>15</w:t>
      </w:r>
      <w:r w:rsidRPr="0038502B">
        <w:rPr>
          <w:rFonts w:ascii="Times New Roman" w:eastAsia="Times New Roman" w:hAnsi="Times New Roman" w:cs="Times New Roman"/>
          <w:sz w:val="24"/>
          <w:szCs w:val="24"/>
          <w:vertAlign w:val="superscript"/>
        </w:rPr>
        <w:t>th</w:t>
      </w:r>
      <w:r w:rsidRPr="0038502B">
        <w:rPr>
          <w:rFonts w:ascii="Times New Roman" w:eastAsia="Times New Roman" w:hAnsi="Times New Roman" w:cs="Times New Roman"/>
          <w:spacing w:val="-3"/>
          <w:sz w:val="24"/>
          <w:szCs w:val="24"/>
        </w:rPr>
        <w:t xml:space="preserve"> </w:t>
      </w:r>
      <w:r w:rsidRPr="0038502B">
        <w:rPr>
          <w:rFonts w:ascii="Times New Roman" w:eastAsia="Times New Roman" w:hAnsi="Times New Roman" w:cs="Times New Roman"/>
          <w:sz w:val="24"/>
          <w:szCs w:val="24"/>
        </w:rPr>
        <w:t>December</w:t>
      </w:r>
      <w:r w:rsidRPr="0038502B">
        <w:rPr>
          <w:rFonts w:ascii="Times New Roman" w:eastAsia="Times New Roman" w:hAnsi="Times New Roman" w:cs="Times New Roman"/>
          <w:spacing w:val="-2"/>
          <w:sz w:val="24"/>
          <w:szCs w:val="24"/>
        </w:rPr>
        <w:t xml:space="preserve"> </w:t>
      </w:r>
      <w:r w:rsidRPr="0038502B">
        <w:rPr>
          <w:rFonts w:ascii="Times New Roman" w:eastAsia="Times New Roman" w:hAnsi="Times New Roman" w:cs="Times New Roman"/>
          <w:spacing w:val="-4"/>
          <w:sz w:val="24"/>
          <w:szCs w:val="24"/>
        </w:rPr>
        <w:t>2017</w:t>
      </w:r>
      <w:bookmarkStart w:id="5" w:name="_TOC_250003"/>
      <w:bookmarkStart w:id="6" w:name="_Toc232844518"/>
      <w:bookmarkEnd w:id="5"/>
    </w:p>
    <w:p w14:paraId="3EAF5734" w14:textId="77777777" w:rsidR="00254505" w:rsidRDefault="00254505" w:rsidP="00254505">
      <w:pPr>
        <w:widowControl w:val="0"/>
        <w:tabs>
          <w:tab w:val="left" w:pos="3042"/>
        </w:tabs>
        <w:autoSpaceDE w:val="0"/>
        <w:autoSpaceDN w:val="0"/>
        <w:spacing w:line="240" w:lineRule="auto"/>
        <w:ind w:left="162"/>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br w:type="page"/>
      </w:r>
    </w:p>
    <w:p w14:paraId="6093F411" w14:textId="0BFB31BA" w:rsidR="006055D0" w:rsidRPr="006055D0" w:rsidRDefault="00105C81" w:rsidP="00254505">
      <w:pPr>
        <w:pStyle w:val="Heading1"/>
        <w:numPr>
          <w:ilvl w:val="0"/>
          <w:numId w:val="0"/>
        </w:numPr>
        <w:ind w:left="432"/>
      </w:pPr>
      <w:bookmarkStart w:id="7" w:name="_Toc232850302"/>
      <w:r w:rsidRPr="006055D0">
        <w:lastRenderedPageBreak/>
        <w:t>Acknowledgements</w:t>
      </w:r>
      <w:bookmarkEnd w:id="6"/>
      <w:bookmarkEnd w:id="7"/>
    </w:p>
    <w:p w14:paraId="2707261E" w14:textId="77777777" w:rsidR="006055D0" w:rsidRDefault="006055D0" w:rsidP="006055D0">
      <w:pPr>
        <w:widowControl w:val="0"/>
        <w:autoSpaceDE w:val="0"/>
        <w:autoSpaceDN w:val="0"/>
        <w:spacing w:before="272" w:line="480" w:lineRule="auto"/>
        <w:ind w:left="162" w:right="161"/>
        <w:rPr>
          <w:rFonts w:ascii="Times New Roman" w:eastAsia="Times New Roman" w:hAnsi="Times New Roman" w:cs="Times New Roman"/>
          <w:sz w:val="24"/>
          <w:szCs w:val="24"/>
        </w:rPr>
      </w:pPr>
      <w:r w:rsidRPr="006055D0">
        <w:rPr>
          <w:rFonts w:ascii="Times New Roman" w:eastAsia="Times New Roman" w:hAnsi="Times New Roman" w:cs="Times New Roman"/>
          <w:sz w:val="24"/>
          <w:szCs w:val="24"/>
          <w:highlight w:val="yellow"/>
        </w:rPr>
        <w:t>I</w:t>
      </w:r>
      <w:r w:rsidRPr="006055D0">
        <w:rPr>
          <w:rFonts w:ascii="Times New Roman" w:eastAsia="Times New Roman" w:hAnsi="Times New Roman" w:cs="Times New Roman"/>
          <w:spacing w:val="-8"/>
          <w:sz w:val="24"/>
          <w:szCs w:val="24"/>
          <w:highlight w:val="yellow"/>
        </w:rPr>
        <w:t xml:space="preserve"> </w:t>
      </w:r>
      <w:r w:rsidRPr="006055D0">
        <w:rPr>
          <w:rFonts w:ascii="Times New Roman" w:eastAsia="Times New Roman" w:hAnsi="Times New Roman" w:cs="Times New Roman"/>
          <w:sz w:val="24"/>
          <w:szCs w:val="24"/>
          <w:highlight w:val="yellow"/>
        </w:rPr>
        <w:t>wish</w:t>
      </w:r>
      <w:r w:rsidRPr="006055D0">
        <w:rPr>
          <w:rFonts w:ascii="Times New Roman" w:eastAsia="Times New Roman" w:hAnsi="Times New Roman" w:cs="Times New Roman"/>
          <w:spacing w:val="-7"/>
          <w:sz w:val="24"/>
          <w:szCs w:val="24"/>
          <w:highlight w:val="yellow"/>
        </w:rPr>
        <w:t xml:space="preserve"> </w:t>
      </w:r>
      <w:r w:rsidRPr="006055D0">
        <w:rPr>
          <w:rFonts w:ascii="Times New Roman" w:eastAsia="Times New Roman" w:hAnsi="Times New Roman" w:cs="Times New Roman"/>
          <w:sz w:val="24"/>
          <w:szCs w:val="24"/>
          <w:highlight w:val="yellow"/>
        </w:rPr>
        <w:t>to</w:t>
      </w:r>
      <w:r w:rsidRPr="006055D0">
        <w:rPr>
          <w:rFonts w:ascii="Times New Roman" w:eastAsia="Times New Roman" w:hAnsi="Times New Roman" w:cs="Times New Roman"/>
          <w:spacing w:val="-7"/>
          <w:sz w:val="24"/>
          <w:szCs w:val="24"/>
          <w:highlight w:val="yellow"/>
        </w:rPr>
        <w:t xml:space="preserve"> </w:t>
      </w:r>
      <w:r w:rsidRPr="006055D0">
        <w:rPr>
          <w:rFonts w:ascii="Times New Roman" w:eastAsia="Times New Roman" w:hAnsi="Times New Roman" w:cs="Times New Roman"/>
          <w:sz w:val="24"/>
          <w:szCs w:val="24"/>
          <w:highlight w:val="yellow"/>
        </w:rPr>
        <w:t>thank</w:t>
      </w:r>
      <w:r w:rsidRPr="006055D0">
        <w:rPr>
          <w:rFonts w:ascii="Times New Roman" w:eastAsia="Times New Roman" w:hAnsi="Times New Roman" w:cs="Times New Roman"/>
          <w:spacing w:val="-7"/>
          <w:sz w:val="24"/>
          <w:szCs w:val="24"/>
          <w:highlight w:val="yellow"/>
        </w:rPr>
        <w:t xml:space="preserve"> </w:t>
      </w:r>
      <w:r w:rsidRPr="006055D0">
        <w:rPr>
          <w:rFonts w:ascii="Times New Roman" w:eastAsia="Times New Roman" w:hAnsi="Times New Roman" w:cs="Times New Roman"/>
          <w:sz w:val="24"/>
          <w:szCs w:val="24"/>
          <w:highlight w:val="yellow"/>
        </w:rPr>
        <w:t>Dr</w:t>
      </w:r>
      <w:r w:rsidRPr="006055D0">
        <w:rPr>
          <w:rFonts w:ascii="Times New Roman" w:eastAsia="Times New Roman" w:hAnsi="Times New Roman" w:cs="Times New Roman"/>
          <w:spacing w:val="-6"/>
          <w:sz w:val="24"/>
          <w:szCs w:val="24"/>
          <w:highlight w:val="yellow"/>
        </w:rPr>
        <w:t xml:space="preserve"> </w:t>
      </w:r>
      <w:r w:rsidRPr="006055D0">
        <w:rPr>
          <w:rFonts w:ascii="Times New Roman" w:eastAsia="Times New Roman" w:hAnsi="Times New Roman" w:cs="Times New Roman"/>
          <w:sz w:val="24"/>
          <w:szCs w:val="24"/>
          <w:highlight w:val="yellow"/>
        </w:rPr>
        <w:t>Email</w:t>
      </w:r>
      <w:r w:rsidRPr="006055D0">
        <w:rPr>
          <w:rFonts w:ascii="Times New Roman" w:eastAsia="Times New Roman" w:hAnsi="Times New Roman" w:cs="Times New Roman"/>
          <w:spacing w:val="-7"/>
          <w:sz w:val="24"/>
          <w:szCs w:val="24"/>
          <w:highlight w:val="yellow"/>
        </w:rPr>
        <w:t xml:space="preserve"> </w:t>
      </w:r>
      <w:r w:rsidRPr="006055D0">
        <w:rPr>
          <w:rFonts w:ascii="Times New Roman" w:eastAsia="Times New Roman" w:hAnsi="Times New Roman" w:cs="Times New Roman"/>
          <w:sz w:val="24"/>
          <w:szCs w:val="24"/>
          <w:highlight w:val="yellow"/>
        </w:rPr>
        <w:t>Nsima</w:t>
      </w:r>
      <w:r w:rsidRPr="006055D0">
        <w:rPr>
          <w:rFonts w:ascii="Times New Roman" w:eastAsia="Times New Roman" w:hAnsi="Times New Roman" w:cs="Times New Roman"/>
          <w:spacing w:val="-8"/>
          <w:sz w:val="24"/>
          <w:szCs w:val="24"/>
          <w:highlight w:val="yellow"/>
        </w:rPr>
        <w:t xml:space="preserve"> </w:t>
      </w:r>
      <w:r w:rsidRPr="006055D0">
        <w:rPr>
          <w:rFonts w:ascii="Times New Roman" w:eastAsia="Times New Roman" w:hAnsi="Times New Roman" w:cs="Times New Roman"/>
          <w:sz w:val="24"/>
          <w:szCs w:val="24"/>
          <w:highlight w:val="yellow"/>
        </w:rPr>
        <w:t>my</w:t>
      </w:r>
      <w:r w:rsidRPr="006055D0">
        <w:rPr>
          <w:rFonts w:ascii="Times New Roman" w:eastAsia="Times New Roman" w:hAnsi="Times New Roman" w:cs="Times New Roman"/>
          <w:spacing w:val="-10"/>
          <w:sz w:val="24"/>
          <w:szCs w:val="24"/>
          <w:highlight w:val="yellow"/>
        </w:rPr>
        <w:t xml:space="preserve"> </w:t>
      </w:r>
      <w:r w:rsidRPr="006055D0">
        <w:rPr>
          <w:rFonts w:ascii="Times New Roman" w:eastAsia="Times New Roman" w:hAnsi="Times New Roman" w:cs="Times New Roman"/>
          <w:sz w:val="24"/>
          <w:szCs w:val="24"/>
          <w:highlight w:val="yellow"/>
        </w:rPr>
        <w:t>academic</w:t>
      </w:r>
      <w:r w:rsidRPr="006055D0">
        <w:rPr>
          <w:rFonts w:ascii="Times New Roman" w:eastAsia="Times New Roman" w:hAnsi="Times New Roman" w:cs="Times New Roman"/>
          <w:spacing w:val="-8"/>
          <w:sz w:val="24"/>
          <w:szCs w:val="24"/>
          <w:highlight w:val="yellow"/>
        </w:rPr>
        <w:t xml:space="preserve"> </w:t>
      </w:r>
      <w:r w:rsidRPr="006055D0">
        <w:rPr>
          <w:rFonts w:ascii="Times New Roman" w:eastAsia="Times New Roman" w:hAnsi="Times New Roman" w:cs="Times New Roman"/>
          <w:sz w:val="24"/>
          <w:szCs w:val="24"/>
          <w:highlight w:val="yellow"/>
        </w:rPr>
        <w:t>Supervisor,</w:t>
      </w:r>
      <w:r w:rsidRPr="006055D0">
        <w:rPr>
          <w:rFonts w:ascii="Times New Roman" w:eastAsia="Times New Roman" w:hAnsi="Times New Roman" w:cs="Times New Roman"/>
          <w:spacing w:val="-7"/>
          <w:sz w:val="24"/>
          <w:szCs w:val="24"/>
          <w:highlight w:val="yellow"/>
        </w:rPr>
        <w:t xml:space="preserve"> </w:t>
      </w:r>
      <w:r w:rsidRPr="006055D0">
        <w:rPr>
          <w:rFonts w:ascii="Times New Roman" w:eastAsia="Times New Roman" w:hAnsi="Times New Roman" w:cs="Times New Roman"/>
          <w:sz w:val="24"/>
          <w:szCs w:val="24"/>
          <w:highlight w:val="yellow"/>
        </w:rPr>
        <w:t>Dr</w:t>
      </w:r>
      <w:r w:rsidRPr="006055D0">
        <w:rPr>
          <w:rFonts w:ascii="Times New Roman" w:eastAsia="Times New Roman" w:hAnsi="Times New Roman" w:cs="Times New Roman"/>
          <w:spacing w:val="-6"/>
          <w:sz w:val="24"/>
          <w:szCs w:val="24"/>
          <w:highlight w:val="yellow"/>
        </w:rPr>
        <w:t xml:space="preserve"> </w:t>
      </w:r>
      <w:r w:rsidRPr="006055D0">
        <w:rPr>
          <w:rFonts w:ascii="Times New Roman" w:eastAsia="Times New Roman" w:hAnsi="Times New Roman" w:cs="Times New Roman"/>
          <w:sz w:val="24"/>
          <w:szCs w:val="24"/>
          <w:highlight w:val="yellow"/>
        </w:rPr>
        <w:t>Nathan</w:t>
      </w:r>
      <w:r w:rsidRPr="006055D0">
        <w:rPr>
          <w:rFonts w:ascii="Times New Roman" w:eastAsia="Times New Roman" w:hAnsi="Times New Roman" w:cs="Times New Roman"/>
          <w:spacing w:val="-7"/>
          <w:sz w:val="24"/>
          <w:szCs w:val="24"/>
          <w:highlight w:val="yellow"/>
        </w:rPr>
        <w:t xml:space="preserve"> </w:t>
      </w:r>
      <w:r w:rsidRPr="006055D0">
        <w:rPr>
          <w:rFonts w:ascii="Times New Roman" w:eastAsia="Times New Roman" w:hAnsi="Times New Roman" w:cs="Times New Roman"/>
          <w:sz w:val="24"/>
          <w:szCs w:val="24"/>
          <w:highlight w:val="yellow"/>
        </w:rPr>
        <w:t>Sadza</w:t>
      </w:r>
      <w:r w:rsidRPr="006055D0">
        <w:rPr>
          <w:rFonts w:ascii="Times New Roman" w:eastAsia="Times New Roman" w:hAnsi="Times New Roman" w:cs="Times New Roman"/>
          <w:spacing w:val="-5"/>
          <w:sz w:val="24"/>
          <w:szCs w:val="24"/>
          <w:highlight w:val="yellow"/>
        </w:rPr>
        <w:t xml:space="preserve"> </w:t>
      </w:r>
      <w:r w:rsidRPr="006055D0">
        <w:rPr>
          <w:rFonts w:ascii="Times New Roman" w:eastAsia="Times New Roman" w:hAnsi="Times New Roman" w:cs="Times New Roman"/>
          <w:sz w:val="24"/>
          <w:szCs w:val="24"/>
          <w:highlight w:val="yellow"/>
        </w:rPr>
        <w:t>my</w:t>
      </w:r>
      <w:r w:rsidRPr="006055D0">
        <w:rPr>
          <w:rFonts w:ascii="Times New Roman" w:eastAsia="Times New Roman" w:hAnsi="Times New Roman" w:cs="Times New Roman"/>
          <w:spacing w:val="-12"/>
          <w:sz w:val="24"/>
          <w:szCs w:val="24"/>
          <w:highlight w:val="yellow"/>
        </w:rPr>
        <w:t xml:space="preserve"> </w:t>
      </w:r>
      <w:r w:rsidRPr="006055D0">
        <w:rPr>
          <w:rFonts w:ascii="Times New Roman" w:eastAsia="Times New Roman" w:hAnsi="Times New Roman" w:cs="Times New Roman"/>
          <w:sz w:val="24"/>
          <w:szCs w:val="24"/>
          <w:highlight w:val="yellow"/>
        </w:rPr>
        <w:t>Service</w:t>
      </w:r>
      <w:r w:rsidRPr="006055D0">
        <w:rPr>
          <w:rFonts w:ascii="Times New Roman" w:eastAsia="Times New Roman" w:hAnsi="Times New Roman" w:cs="Times New Roman"/>
          <w:spacing w:val="-8"/>
          <w:sz w:val="24"/>
          <w:szCs w:val="24"/>
          <w:highlight w:val="yellow"/>
        </w:rPr>
        <w:t xml:space="preserve"> </w:t>
      </w:r>
      <w:r w:rsidRPr="006055D0">
        <w:rPr>
          <w:rFonts w:ascii="Times New Roman" w:eastAsia="Times New Roman" w:hAnsi="Times New Roman" w:cs="Times New Roman"/>
          <w:sz w:val="24"/>
          <w:szCs w:val="24"/>
          <w:highlight w:val="yellow"/>
        </w:rPr>
        <w:t>Advocate and Prof Vaganov for their inputs during the preparation and writing of this dissertation.</w:t>
      </w:r>
      <w:r w:rsidRPr="006055D0">
        <w:rPr>
          <w:rFonts w:ascii="Times New Roman" w:eastAsia="Times New Roman" w:hAnsi="Times New Roman" w:cs="Times New Roman"/>
          <w:spacing w:val="40"/>
          <w:sz w:val="24"/>
          <w:szCs w:val="24"/>
          <w:highlight w:val="yellow"/>
        </w:rPr>
        <w:t xml:space="preserve"> </w:t>
      </w:r>
      <w:r w:rsidRPr="006055D0">
        <w:rPr>
          <w:rFonts w:ascii="Times New Roman" w:eastAsia="Times New Roman" w:hAnsi="Times New Roman" w:cs="Times New Roman"/>
          <w:sz w:val="24"/>
          <w:szCs w:val="24"/>
          <w:highlight w:val="yellow"/>
        </w:rPr>
        <w:t>I also thank Mr Stata for his statistical support.</w:t>
      </w:r>
      <w:r w:rsidRPr="006055D0">
        <w:rPr>
          <w:rFonts w:ascii="Times New Roman" w:eastAsia="Times New Roman" w:hAnsi="Times New Roman" w:cs="Times New Roman"/>
          <w:spacing w:val="40"/>
          <w:sz w:val="24"/>
          <w:szCs w:val="24"/>
          <w:highlight w:val="yellow"/>
        </w:rPr>
        <w:t xml:space="preserve"> </w:t>
      </w:r>
      <w:r w:rsidRPr="006055D0">
        <w:rPr>
          <w:rFonts w:ascii="Times New Roman" w:eastAsia="Times New Roman" w:hAnsi="Times New Roman" w:cs="Times New Roman"/>
          <w:sz w:val="24"/>
          <w:szCs w:val="24"/>
          <w:highlight w:val="yellow"/>
        </w:rPr>
        <w:t>I am also very grateful to all Department of</w:t>
      </w:r>
      <w:r w:rsidRPr="006055D0">
        <w:rPr>
          <w:rFonts w:ascii="Times New Roman" w:eastAsia="Times New Roman" w:hAnsi="Times New Roman" w:cs="Times New Roman"/>
          <w:spacing w:val="40"/>
          <w:sz w:val="24"/>
          <w:szCs w:val="24"/>
          <w:highlight w:val="yellow"/>
        </w:rPr>
        <w:t xml:space="preserve"> </w:t>
      </w:r>
      <w:r w:rsidRPr="006055D0">
        <w:rPr>
          <w:rFonts w:ascii="Times New Roman" w:eastAsia="Times New Roman" w:hAnsi="Times New Roman" w:cs="Times New Roman"/>
          <w:sz w:val="24"/>
          <w:szCs w:val="24"/>
          <w:highlight w:val="yellow"/>
        </w:rPr>
        <w:t>Public Health Staff as well as my colleagues in the MEp program for their support.</w:t>
      </w:r>
      <w:r w:rsidRPr="006055D0">
        <w:rPr>
          <w:rFonts w:ascii="Times New Roman" w:eastAsia="Times New Roman" w:hAnsi="Times New Roman" w:cs="Times New Roman"/>
          <w:spacing w:val="40"/>
          <w:sz w:val="24"/>
          <w:szCs w:val="24"/>
          <w:highlight w:val="yellow"/>
        </w:rPr>
        <w:t xml:space="preserve"> </w:t>
      </w:r>
      <w:r w:rsidRPr="006055D0">
        <w:rPr>
          <w:rFonts w:ascii="Times New Roman" w:eastAsia="Times New Roman" w:hAnsi="Times New Roman" w:cs="Times New Roman"/>
          <w:sz w:val="24"/>
          <w:szCs w:val="24"/>
          <w:highlight w:val="yellow"/>
        </w:rPr>
        <w:t>My acknowledge-ments would be incomplete without the mention of my wife Trish and my sons Obnoxious and Velocity who have always been by my side.</w:t>
      </w:r>
    </w:p>
    <w:p w14:paraId="03EF2A65" w14:textId="30FBA823" w:rsidR="00FD2383" w:rsidRDefault="00FD2383" w:rsidP="006055D0">
      <w:pPr>
        <w:widowControl w:val="0"/>
        <w:autoSpaceDE w:val="0"/>
        <w:autoSpaceDN w:val="0"/>
        <w:spacing w:before="272" w:line="480" w:lineRule="auto"/>
        <w:ind w:left="162" w:right="161"/>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br w:type="page"/>
      </w:r>
    </w:p>
    <w:p w14:paraId="416E2367" w14:textId="77777777" w:rsidR="00FD2383" w:rsidRPr="006055D0" w:rsidRDefault="00FD2383" w:rsidP="006055D0">
      <w:pPr>
        <w:widowControl w:val="0"/>
        <w:autoSpaceDE w:val="0"/>
        <w:autoSpaceDN w:val="0"/>
        <w:spacing w:before="272" w:line="480" w:lineRule="auto"/>
        <w:ind w:left="162" w:right="161"/>
        <w:rPr>
          <w:rFonts w:ascii="Times New Roman" w:eastAsia="Times New Roman" w:hAnsi="Times New Roman" w:cs="Times New Roman"/>
          <w:sz w:val="24"/>
          <w:szCs w:val="24"/>
        </w:rPr>
      </w:pPr>
    </w:p>
    <w:p w14:paraId="584E13A1"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sz w:val="24"/>
          <w:szCs w:val="24"/>
        </w:rPr>
      </w:pPr>
    </w:p>
    <w:p w14:paraId="1EBAC197" w14:textId="744FE0DE" w:rsidR="006055D0" w:rsidRPr="006055D0" w:rsidRDefault="00105C81" w:rsidP="00985840">
      <w:pPr>
        <w:pStyle w:val="Heading1"/>
        <w:numPr>
          <w:ilvl w:val="0"/>
          <w:numId w:val="0"/>
        </w:numPr>
        <w:ind w:left="432"/>
      </w:pPr>
      <w:bookmarkStart w:id="8" w:name="_TOC_250002"/>
      <w:bookmarkStart w:id="9" w:name="_Toc232844519"/>
      <w:bookmarkStart w:id="10" w:name="_Toc232850303"/>
      <w:bookmarkEnd w:id="8"/>
      <w:r w:rsidRPr="006055D0">
        <w:t>Abstract</w:t>
      </w:r>
      <w:bookmarkEnd w:id="9"/>
      <w:bookmarkEnd w:id="10"/>
    </w:p>
    <w:p w14:paraId="7DA172E7" w14:textId="77777777" w:rsidR="006055D0" w:rsidRPr="006055D0" w:rsidRDefault="006055D0" w:rsidP="006055D0">
      <w:pPr>
        <w:widowControl w:val="0"/>
        <w:autoSpaceDE w:val="0"/>
        <w:autoSpaceDN w:val="0"/>
        <w:spacing w:line="240" w:lineRule="auto"/>
        <w:rPr>
          <w:rFonts w:ascii="Times New Roman" w:eastAsia="Times New Roman" w:hAnsi="Times New Roman" w:cs="Times New Roman"/>
          <w:b/>
          <w:sz w:val="24"/>
          <w:szCs w:val="24"/>
        </w:rPr>
      </w:pPr>
    </w:p>
    <w:p w14:paraId="35C1F8D6" w14:textId="77777777" w:rsidR="006055D0" w:rsidRPr="006055D0" w:rsidRDefault="006055D0" w:rsidP="006055D0">
      <w:pPr>
        <w:spacing w:before="180" w:after="180" w:line="480" w:lineRule="auto"/>
        <w:rPr>
          <w:rFonts w:ascii="Times New Roman" w:eastAsia="Times New Roman" w:hAnsi="Times New Roman" w:cs="Times New Roman"/>
          <w:sz w:val="24"/>
          <w:szCs w:val="24"/>
          <w:lang w:eastAsia="zh-CN"/>
        </w:rPr>
      </w:pPr>
      <w:bookmarkStart w:id="11" w:name="abstract"/>
      <w:r w:rsidRPr="006055D0">
        <w:rPr>
          <w:rFonts w:ascii="Times New Roman" w:eastAsia="Times New Roman" w:hAnsi="Times New Roman" w:cs="Times New Roman"/>
          <w:sz w:val="24"/>
          <w:szCs w:val="24"/>
          <w:lang w:eastAsia="zh-CN"/>
        </w:rPr>
        <w:t>Introduction: Measles remains a major public health problem despite the availability of an effective vaccine. In Malawi, continued outbreaks suggest persistent susceptibility and gaps in control efforts.</w:t>
      </w:r>
    </w:p>
    <w:p w14:paraId="6D73F963" w14:textId="77777777" w:rsidR="006055D0" w:rsidRPr="006055D0" w:rsidRDefault="006055D0" w:rsidP="006055D0">
      <w:pPr>
        <w:widowControl w:val="0"/>
        <w:autoSpaceDE w:val="0"/>
        <w:autoSpaceDN w:val="0"/>
        <w:spacing w:line="480" w:lineRule="auto"/>
        <w:rPr>
          <w:rFonts w:ascii="Times New Roman" w:eastAsia="Times New Roman" w:hAnsi="Times New Roman" w:cs="Times New Roman"/>
          <w:sz w:val="24"/>
          <w:szCs w:val="24"/>
        </w:rPr>
      </w:pPr>
      <w:r w:rsidRPr="006055D0">
        <w:rPr>
          <w:rFonts w:ascii="Times New Roman" w:eastAsia="Times New Roman" w:hAnsi="Times New Roman" w:cs="Times New Roman"/>
          <w:sz w:val="24"/>
          <w:szCs w:val="24"/>
        </w:rPr>
        <w:t>Objectives: To determine measles IgM positivity among suspected cases in Malawi, identify associated factors, and describe its distribution across districts.</w:t>
      </w:r>
    </w:p>
    <w:p w14:paraId="15334E64" w14:textId="77777777" w:rsidR="006055D0" w:rsidRPr="006055D0" w:rsidRDefault="006055D0" w:rsidP="006055D0">
      <w:pPr>
        <w:widowControl w:val="0"/>
        <w:autoSpaceDE w:val="0"/>
        <w:autoSpaceDN w:val="0"/>
        <w:spacing w:line="480" w:lineRule="auto"/>
        <w:rPr>
          <w:rFonts w:ascii="Times New Roman" w:eastAsia="Times New Roman" w:hAnsi="Times New Roman" w:cs="Times New Roman"/>
          <w:sz w:val="24"/>
          <w:szCs w:val="24"/>
        </w:rPr>
      </w:pPr>
    </w:p>
    <w:p w14:paraId="6C531CE1" w14:textId="77777777" w:rsidR="006055D0" w:rsidRPr="006055D0" w:rsidRDefault="006055D0" w:rsidP="00DD6BFA">
      <w:pPr>
        <w:widowControl w:val="0"/>
        <w:tabs>
          <w:tab w:val="left" w:pos="9270"/>
        </w:tabs>
        <w:autoSpaceDE w:val="0"/>
        <w:autoSpaceDN w:val="0"/>
        <w:spacing w:line="480" w:lineRule="auto"/>
        <w:rPr>
          <w:rFonts w:ascii="Times New Roman" w:eastAsia="Times New Roman" w:hAnsi="Times New Roman" w:cs="Times New Roman"/>
          <w:sz w:val="24"/>
          <w:szCs w:val="24"/>
        </w:rPr>
      </w:pPr>
      <w:r w:rsidRPr="006055D0">
        <w:rPr>
          <w:rFonts w:ascii="Times New Roman" w:eastAsia="Times New Roman" w:hAnsi="Times New Roman" w:cs="Times New Roman"/>
          <w:sz w:val="24"/>
          <w:szCs w:val="24"/>
        </w:rPr>
        <w:t>Methods: A retrospective cross-sectional analytical study was conducted using secondary measles surveillance and laboratory data collected between April 2023 and December 2024. Suspected cases with complete records and IgM results were included. Descriptive statistics, bivariate analysis, and multivariate logistic regression were used.</w:t>
      </w:r>
    </w:p>
    <w:p w14:paraId="4B87D9AD" w14:textId="77777777" w:rsidR="006055D0" w:rsidRPr="006055D0" w:rsidRDefault="006055D0" w:rsidP="006055D0">
      <w:pPr>
        <w:widowControl w:val="0"/>
        <w:autoSpaceDE w:val="0"/>
        <w:autoSpaceDN w:val="0"/>
        <w:spacing w:line="480" w:lineRule="auto"/>
        <w:rPr>
          <w:rFonts w:ascii="Times New Roman" w:eastAsia="Times New Roman" w:hAnsi="Times New Roman" w:cs="Times New Roman"/>
          <w:sz w:val="24"/>
          <w:szCs w:val="24"/>
        </w:rPr>
      </w:pPr>
    </w:p>
    <w:p w14:paraId="35B69817" w14:textId="77777777" w:rsidR="006055D0" w:rsidRPr="006055D0" w:rsidRDefault="006055D0" w:rsidP="006055D0">
      <w:pPr>
        <w:widowControl w:val="0"/>
        <w:autoSpaceDE w:val="0"/>
        <w:autoSpaceDN w:val="0"/>
        <w:spacing w:line="480" w:lineRule="auto"/>
        <w:rPr>
          <w:rFonts w:ascii="Times New Roman" w:eastAsia="Times New Roman" w:hAnsi="Times New Roman" w:cs="Times New Roman"/>
          <w:sz w:val="24"/>
          <w:szCs w:val="24"/>
        </w:rPr>
      </w:pPr>
      <w:r w:rsidRPr="006055D0">
        <w:rPr>
          <w:rFonts w:ascii="Times New Roman" w:eastAsia="Times New Roman" w:hAnsi="Times New Roman" w:cs="Times New Roman"/>
          <w:sz w:val="24"/>
          <w:szCs w:val="24"/>
        </w:rPr>
        <w:t>Results: A total of 1,191 suspected cases were analysed. Overall, 70.1% were IgM positive (95% CI: 67.4–72.6), indicating substantial recent measles transmission. Cases increased in late 2024 and peaked in November. Male sex was associated with higher odds of IgM positivity (aOR = 2.17, 95% CI: 1.19–4.00, p = 0.012). Compared with the Southern Region, odds were lower in the Northern Region (aOR = 0.06, 95% CI: 0.01–0.19, p &lt; 0.001) and Central Region (aOR = 0.31, 95% CI: 0.14–0.64, p = 0.002), showing geographic variation in burden.</w:t>
      </w:r>
    </w:p>
    <w:p w14:paraId="38F586D1" w14:textId="77777777" w:rsidR="006055D0" w:rsidRPr="006055D0" w:rsidRDefault="006055D0" w:rsidP="006055D0">
      <w:pPr>
        <w:widowControl w:val="0"/>
        <w:autoSpaceDE w:val="0"/>
        <w:autoSpaceDN w:val="0"/>
        <w:spacing w:line="480" w:lineRule="auto"/>
        <w:rPr>
          <w:rFonts w:ascii="Times New Roman" w:eastAsia="Times New Roman" w:hAnsi="Times New Roman" w:cs="Times New Roman"/>
          <w:sz w:val="24"/>
          <w:szCs w:val="24"/>
        </w:rPr>
      </w:pPr>
    </w:p>
    <w:p w14:paraId="0CE4412B" w14:textId="75E32504" w:rsidR="00313B92" w:rsidRDefault="006055D0" w:rsidP="00254505">
      <w:pPr>
        <w:widowControl w:val="0"/>
        <w:autoSpaceDE w:val="0"/>
        <w:autoSpaceDN w:val="0"/>
        <w:spacing w:line="480" w:lineRule="auto"/>
        <w:rPr>
          <w:rFonts w:ascii="Times New Roman" w:eastAsia="Times New Roman" w:hAnsi="Times New Roman" w:cs="Times New Roman"/>
          <w:sz w:val="24"/>
          <w:szCs w:val="24"/>
        </w:rPr>
      </w:pPr>
      <w:r w:rsidRPr="006055D0">
        <w:rPr>
          <w:rFonts w:ascii="Times New Roman" w:eastAsia="Times New Roman" w:hAnsi="Times New Roman" w:cs="Times New Roman"/>
          <w:sz w:val="24"/>
          <w:szCs w:val="24"/>
        </w:rPr>
        <w:t xml:space="preserve">Conclusions: Measles remained an active public health problem in Malawi. Male sex and geographic location were important correlates of IgM positivity, supporting stronger surveillance </w:t>
      </w:r>
      <w:r w:rsidRPr="006055D0">
        <w:rPr>
          <w:rFonts w:ascii="Times New Roman" w:eastAsia="Times New Roman" w:hAnsi="Times New Roman" w:cs="Times New Roman"/>
          <w:sz w:val="24"/>
          <w:szCs w:val="24"/>
        </w:rPr>
        <w:lastRenderedPageBreak/>
        <w:t>and geographically targeted control efforts.</w:t>
      </w:r>
      <w:bookmarkEnd w:id="11"/>
      <w:r w:rsidR="00254505">
        <w:rPr>
          <w:rFonts w:ascii="Times New Roman" w:eastAsia="Times New Roman" w:hAnsi="Times New Roman" w:cs="Times New Roman"/>
          <w:sz w:val="24"/>
          <w:szCs w:val="24"/>
        </w:rPr>
        <w:br w:type="page"/>
      </w:r>
    </w:p>
    <w:sdt>
      <w:sdtPr>
        <w:rPr>
          <w:rFonts w:ascii="Calibri" w:eastAsia="Calibri" w:hAnsi="Calibri" w:cs="Calibri"/>
          <w:b w:val="0"/>
          <w:sz w:val="22"/>
          <w:szCs w:val="22"/>
          <w:lang w:eastAsia="en-GB"/>
        </w:rPr>
        <w:id w:val="-1095638127"/>
        <w:docPartObj>
          <w:docPartGallery w:val="Table of Contents"/>
          <w:docPartUnique/>
        </w:docPartObj>
      </w:sdtPr>
      <w:sdtEndPr>
        <w:rPr>
          <w:bCs/>
          <w:noProof/>
        </w:rPr>
      </w:sdtEndPr>
      <w:sdtContent>
        <w:p w14:paraId="74500BEB" w14:textId="6FB073D7" w:rsidR="00985840" w:rsidRDefault="00985840" w:rsidP="00985840">
          <w:pPr>
            <w:pStyle w:val="TOCHeading"/>
            <w:numPr>
              <w:ilvl w:val="0"/>
              <w:numId w:val="0"/>
            </w:numPr>
            <w:ind w:left="432" w:hanging="432"/>
          </w:pPr>
          <w:r>
            <w:t>Table of Contents</w:t>
          </w:r>
        </w:p>
        <w:p w14:paraId="37F7BB96" w14:textId="5EC51AFE" w:rsidR="00B3476D" w:rsidRDefault="00985840">
          <w:pPr>
            <w:pStyle w:val="TOC1"/>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2850300" w:history="1">
            <w:r w:rsidR="00B3476D" w:rsidRPr="00B2411A">
              <w:rPr>
                <w:rStyle w:val="Hyperlink"/>
                <w:noProof/>
              </w:rPr>
              <w:t>Certificate</w:t>
            </w:r>
            <w:r w:rsidR="00B3476D" w:rsidRPr="00B2411A">
              <w:rPr>
                <w:rStyle w:val="Hyperlink"/>
                <w:noProof/>
                <w:spacing w:val="-3"/>
              </w:rPr>
              <w:t xml:space="preserve"> </w:t>
            </w:r>
            <w:r w:rsidR="00B3476D" w:rsidRPr="00B2411A">
              <w:rPr>
                <w:rStyle w:val="Hyperlink"/>
                <w:noProof/>
              </w:rPr>
              <w:t>of</w:t>
            </w:r>
            <w:r w:rsidR="00B3476D" w:rsidRPr="00B2411A">
              <w:rPr>
                <w:rStyle w:val="Hyperlink"/>
                <w:noProof/>
                <w:spacing w:val="-5"/>
              </w:rPr>
              <w:t xml:space="preserve"> </w:t>
            </w:r>
            <w:r w:rsidR="00B3476D" w:rsidRPr="00B2411A">
              <w:rPr>
                <w:rStyle w:val="Hyperlink"/>
                <w:noProof/>
                <w:spacing w:val="-2"/>
              </w:rPr>
              <w:t>Approval</w:t>
            </w:r>
            <w:r w:rsidR="00B3476D">
              <w:rPr>
                <w:noProof/>
                <w:webHidden/>
              </w:rPr>
              <w:tab/>
            </w:r>
            <w:r w:rsidR="00B3476D">
              <w:rPr>
                <w:noProof/>
                <w:webHidden/>
              </w:rPr>
              <w:fldChar w:fldCharType="begin"/>
            </w:r>
            <w:r w:rsidR="00B3476D">
              <w:rPr>
                <w:noProof/>
                <w:webHidden/>
              </w:rPr>
              <w:instrText xml:space="preserve"> PAGEREF _Toc232850300 \h </w:instrText>
            </w:r>
            <w:r w:rsidR="00B3476D">
              <w:rPr>
                <w:noProof/>
                <w:webHidden/>
              </w:rPr>
            </w:r>
            <w:r w:rsidR="00B3476D">
              <w:rPr>
                <w:noProof/>
                <w:webHidden/>
              </w:rPr>
              <w:fldChar w:fldCharType="separate"/>
            </w:r>
            <w:r w:rsidR="00B3476D">
              <w:rPr>
                <w:noProof/>
                <w:webHidden/>
              </w:rPr>
              <w:t>iii</w:t>
            </w:r>
            <w:r w:rsidR="00B3476D">
              <w:rPr>
                <w:noProof/>
                <w:webHidden/>
              </w:rPr>
              <w:fldChar w:fldCharType="end"/>
            </w:r>
          </w:hyperlink>
        </w:p>
        <w:p w14:paraId="35E44009" w14:textId="60AF5A24" w:rsidR="00B3476D" w:rsidRDefault="00B3476D">
          <w:pPr>
            <w:pStyle w:val="TOC1"/>
            <w:rPr>
              <w:rFonts w:asciiTheme="minorHAnsi" w:eastAsiaTheme="minorEastAsia" w:hAnsiTheme="minorHAnsi" w:cstheme="minorBidi"/>
              <w:noProof/>
              <w:kern w:val="2"/>
              <w:szCs w:val="24"/>
              <w14:ligatures w14:val="standardContextual"/>
            </w:rPr>
          </w:pPr>
          <w:hyperlink w:anchor="_Toc232850301" w:history="1">
            <w:r w:rsidRPr="00B2411A">
              <w:rPr>
                <w:rStyle w:val="Hyperlink"/>
                <w:noProof/>
              </w:rPr>
              <w:t>Declaration</w:t>
            </w:r>
            <w:r>
              <w:rPr>
                <w:noProof/>
                <w:webHidden/>
              </w:rPr>
              <w:tab/>
            </w:r>
            <w:r>
              <w:rPr>
                <w:noProof/>
                <w:webHidden/>
              </w:rPr>
              <w:fldChar w:fldCharType="begin"/>
            </w:r>
            <w:r>
              <w:rPr>
                <w:noProof/>
                <w:webHidden/>
              </w:rPr>
              <w:instrText xml:space="preserve"> PAGEREF _Toc232850301 \h </w:instrText>
            </w:r>
            <w:r>
              <w:rPr>
                <w:noProof/>
                <w:webHidden/>
              </w:rPr>
            </w:r>
            <w:r>
              <w:rPr>
                <w:noProof/>
                <w:webHidden/>
              </w:rPr>
              <w:fldChar w:fldCharType="separate"/>
            </w:r>
            <w:r>
              <w:rPr>
                <w:noProof/>
                <w:webHidden/>
              </w:rPr>
              <w:t>iv</w:t>
            </w:r>
            <w:r>
              <w:rPr>
                <w:noProof/>
                <w:webHidden/>
              </w:rPr>
              <w:fldChar w:fldCharType="end"/>
            </w:r>
          </w:hyperlink>
        </w:p>
        <w:p w14:paraId="10796B3F" w14:textId="2F09AC2B" w:rsidR="00B3476D" w:rsidRDefault="00B3476D">
          <w:pPr>
            <w:pStyle w:val="TOC1"/>
            <w:rPr>
              <w:rFonts w:asciiTheme="minorHAnsi" w:eastAsiaTheme="minorEastAsia" w:hAnsiTheme="minorHAnsi" w:cstheme="minorBidi"/>
              <w:noProof/>
              <w:kern w:val="2"/>
              <w:szCs w:val="24"/>
              <w14:ligatures w14:val="standardContextual"/>
            </w:rPr>
          </w:pPr>
          <w:hyperlink w:anchor="_Toc232850302" w:history="1">
            <w:r w:rsidRPr="00B2411A">
              <w:rPr>
                <w:rStyle w:val="Hyperlink"/>
                <w:noProof/>
              </w:rPr>
              <w:t>Acknowledgements</w:t>
            </w:r>
            <w:r>
              <w:rPr>
                <w:noProof/>
                <w:webHidden/>
              </w:rPr>
              <w:tab/>
            </w:r>
            <w:r>
              <w:rPr>
                <w:noProof/>
                <w:webHidden/>
              </w:rPr>
              <w:fldChar w:fldCharType="begin"/>
            </w:r>
            <w:r>
              <w:rPr>
                <w:noProof/>
                <w:webHidden/>
              </w:rPr>
              <w:instrText xml:space="preserve"> PAGEREF _Toc232850302 \h </w:instrText>
            </w:r>
            <w:r>
              <w:rPr>
                <w:noProof/>
                <w:webHidden/>
              </w:rPr>
            </w:r>
            <w:r>
              <w:rPr>
                <w:noProof/>
                <w:webHidden/>
              </w:rPr>
              <w:fldChar w:fldCharType="separate"/>
            </w:r>
            <w:r>
              <w:rPr>
                <w:noProof/>
                <w:webHidden/>
              </w:rPr>
              <w:t>v</w:t>
            </w:r>
            <w:r>
              <w:rPr>
                <w:noProof/>
                <w:webHidden/>
              </w:rPr>
              <w:fldChar w:fldCharType="end"/>
            </w:r>
          </w:hyperlink>
        </w:p>
        <w:p w14:paraId="1D13F86D" w14:textId="33303E8D" w:rsidR="00B3476D" w:rsidRDefault="00B3476D">
          <w:pPr>
            <w:pStyle w:val="TOC1"/>
            <w:rPr>
              <w:rFonts w:asciiTheme="minorHAnsi" w:eastAsiaTheme="minorEastAsia" w:hAnsiTheme="minorHAnsi" w:cstheme="minorBidi"/>
              <w:noProof/>
              <w:kern w:val="2"/>
              <w:szCs w:val="24"/>
              <w14:ligatures w14:val="standardContextual"/>
            </w:rPr>
          </w:pPr>
          <w:hyperlink w:anchor="_Toc232850303" w:history="1">
            <w:r w:rsidRPr="00B2411A">
              <w:rPr>
                <w:rStyle w:val="Hyperlink"/>
                <w:noProof/>
              </w:rPr>
              <w:t>Abstract</w:t>
            </w:r>
            <w:r>
              <w:rPr>
                <w:noProof/>
                <w:webHidden/>
              </w:rPr>
              <w:tab/>
            </w:r>
            <w:r>
              <w:rPr>
                <w:noProof/>
                <w:webHidden/>
              </w:rPr>
              <w:fldChar w:fldCharType="begin"/>
            </w:r>
            <w:r>
              <w:rPr>
                <w:noProof/>
                <w:webHidden/>
              </w:rPr>
              <w:instrText xml:space="preserve"> PAGEREF _Toc232850303 \h </w:instrText>
            </w:r>
            <w:r>
              <w:rPr>
                <w:noProof/>
                <w:webHidden/>
              </w:rPr>
            </w:r>
            <w:r>
              <w:rPr>
                <w:noProof/>
                <w:webHidden/>
              </w:rPr>
              <w:fldChar w:fldCharType="separate"/>
            </w:r>
            <w:r>
              <w:rPr>
                <w:noProof/>
                <w:webHidden/>
              </w:rPr>
              <w:t>vi</w:t>
            </w:r>
            <w:r>
              <w:rPr>
                <w:noProof/>
                <w:webHidden/>
              </w:rPr>
              <w:fldChar w:fldCharType="end"/>
            </w:r>
          </w:hyperlink>
        </w:p>
        <w:p w14:paraId="222E2B57" w14:textId="110B431A" w:rsidR="00B3476D" w:rsidRDefault="00B3476D">
          <w:pPr>
            <w:pStyle w:val="TOC1"/>
            <w:rPr>
              <w:rFonts w:asciiTheme="minorHAnsi" w:eastAsiaTheme="minorEastAsia" w:hAnsiTheme="minorHAnsi" w:cstheme="minorBidi"/>
              <w:noProof/>
              <w:kern w:val="2"/>
              <w:szCs w:val="24"/>
              <w14:ligatures w14:val="standardContextual"/>
            </w:rPr>
          </w:pPr>
          <w:hyperlink w:anchor="_Toc232850304" w:history="1">
            <w:r w:rsidRPr="00B2411A">
              <w:rPr>
                <w:rStyle w:val="Hyperlink"/>
                <w:noProof/>
              </w:rPr>
              <w:t>List of</w:t>
            </w:r>
            <w:r w:rsidRPr="00B2411A">
              <w:rPr>
                <w:rStyle w:val="Hyperlink"/>
                <w:noProof/>
                <w:spacing w:val="-3"/>
              </w:rPr>
              <w:t xml:space="preserve"> </w:t>
            </w:r>
            <w:r w:rsidRPr="00B2411A">
              <w:rPr>
                <w:rStyle w:val="Hyperlink"/>
                <w:noProof/>
                <w:spacing w:val="-2"/>
              </w:rPr>
              <w:t>Tables</w:t>
            </w:r>
            <w:r>
              <w:rPr>
                <w:noProof/>
                <w:webHidden/>
              </w:rPr>
              <w:tab/>
            </w:r>
            <w:r>
              <w:rPr>
                <w:noProof/>
                <w:webHidden/>
              </w:rPr>
              <w:fldChar w:fldCharType="begin"/>
            </w:r>
            <w:r>
              <w:rPr>
                <w:noProof/>
                <w:webHidden/>
              </w:rPr>
              <w:instrText xml:space="preserve"> PAGEREF _Toc232850304 \h </w:instrText>
            </w:r>
            <w:r>
              <w:rPr>
                <w:noProof/>
                <w:webHidden/>
              </w:rPr>
            </w:r>
            <w:r>
              <w:rPr>
                <w:noProof/>
                <w:webHidden/>
              </w:rPr>
              <w:fldChar w:fldCharType="separate"/>
            </w:r>
            <w:r>
              <w:rPr>
                <w:noProof/>
                <w:webHidden/>
              </w:rPr>
              <w:t>x</w:t>
            </w:r>
            <w:r>
              <w:rPr>
                <w:noProof/>
                <w:webHidden/>
              </w:rPr>
              <w:fldChar w:fldCharType="end"/>
            </w:r>
          </w:hyperlink>
        </w:p>
        <w:p w14:paraId="604175DB" w14:textId="16D0DA01" w:rsidR="00B3476D" w:rsidRDefault="00B3476D">
          <w:pPr>
            <w:pStyle w:val="TOC1"/>
            <w:rPr>
              <w:rFonts w:asciiTheme="minorHAnsi" w:eastAsiaTheme="minorEastAsia" w:hAnsiTheme="minorHAnsi" w:cstheme="minorBidi"/>
              <w:noProof/>
              <w:kern w:val="2"/>
              <w:szCs w:val="24"/>
              <w14:ligatures w14:val="standardContextual"/>
            </w:rPr>
          </w:pPr>
          <w:hyperlink w:anchor="_Toc232850305" w:history="1">
            <w:r w:rsidRPr="00B2411A">
              <w:rPr>
                <w:rStyle w:val="Hyperlink"/>
                <w:noProof/>
              </w:rPr>
              <w:t>List of figures</w:t>
            </w:r>
            <w:r>
              <w:rPr>
                <w:noProof/>
                <w:webHidden/>
              </w:rPr>
              <w:tab/>
            </w:r>
            <w:r>
              <w:rPr>
                <w:noProof/>
                <w:webHidden/>
              </w:rPr>
              <w:fldChar w:fldCharType="begin"/>
            </w:r>
            <w:r>
              <w:rPr>
                <w:noProof/>
                <w:webHidden/>
              </w:rPr>
              <w:instrText xml:space="preserve"> PAGEREF _Toc232850305 \h </w:instrText>
            </w:r>
            <w:r>
              <w:rPr>
                <w:noProof/>
                <w:webHidden/>
              </w:rPr>
            </w:r>
            <w:r>
              <w:rPr>
                <w:noProof/>
                <w:webHidden/>
              </w:rPr>
              <w:fldChar w:fldCharType="separate"/>
            </w:r>
            <w:r>
              <w:rPr>
                <w:noProof/>
                <w:webHidden/>
              </w:rPr>
              <w:t>x</w:t>
            </w:r>
            <w:r>
              <w:rPr>
                <w:noProof/>
                <w:webHidden/>
              </w:rPr>
              <w:fldChar w:fldCharType="end"/>
            </w:r>
          </w:hyperlink>
        </w:p>
        <w:p w14:paraId="4A5336D0" w14:textId="18068843" w:rsidR="00B3476D" w:rsidRDefault="00B3476D">
          <w:pPr>
            <w:pStyle w:val="TOC1"/>
            <w:rPr>
              <w:rFonts w:asciiTheme="minorHAnsi" w:eastAsiaTheme="minorEastAsia" w:hAnsiTheme="minorHAnsi" w:cstheme="minorBidi"/>
              <w:noProof/>
              <w:kern w:val="2"/>
              <w:szCs w:val="24"/>
              <w14:ligatures w14:val="standardContextual"/>
            </w:rPr>
          </w:pPr>
          <w:hyperlink w:anchor="_Toc232850306" w:history="1">
            <w:r>
              <w:rPr>
                <w:rFonts w:asciiTheme="minorHAnsi" w:eastAsiaTheme="minorEastAsia" w:hAnsiTheme="minorHAnsi" w:cstheme="minorBidi"/>
                <w:noProof/>
                <w:kern w:val="2"/>
                <w:szCs w:val="24"/>
                <w14:ligatures w14:val="standardContextual"/>
              </w:rPr>
              <w:tab/>
            </w:r>
            <w:r w:rsidRPr="00B2411A">
              <w:rPr>
                <w:rStyle w:val="Hyperlink"/>
                <w:noProof/>
              </w:rPr>
              <w:t>Chapter 1 Introduction and Objectives of the Study</w:t>
            </w:r>
            <w:r>
              <w:rPr>
                <w:noProof/>
                <w:webHidden/>
              </w:rPr>
              <w:tab/>
            </w:r>
            <w:r>
              <w:rPr>
                <w:noProof/>
                <w:webHidden/>
              </w:rPr>
              <w:fldChar w:fldCharType="begin"/>
            </w:r>
            <w:r>
              <w:rPr>
                <w:noProof/>
                <w:webHidden/>
              </w:rPr>
              <w:instrText xml:space="preserve"> PAGEREF _Toc232850306 \h </w:instrText>
            </w:r>
            <w:r>
              <w:rPr>
                <w:noProof/>
                <w:webHidden/>
              </w:rPr>
            </w:r>
            <w:r>
              <w:rPr>
                <w:noProof/>
                <w:webHidden/>
              </w:rPr>
              <w:fldChar w:fldCharType="separate"/>
            </w:r>
            <w:r>
              <w:rPr>
                <w:noProof/>
                <w:webHidden/>
              </w:rPr>
              <w:t>1</w:t>
            </w:r>
            <w:r>
              <w:rPr>
                <w:noProof/>
                <w:webHidden/>
              </w:rPr>
              <w:fldChar w:fldCharType="end"/>
            </w:r>
          </w:hyperlink>
        </w:p>
        <w:p w14:paraId="756AA4BF" w14:textId="7D3BAF9B" w:rsidR="00B3476D" w:rsidRDefault="00B3476D">
          <w:pPr>
            <w:pStyle w:val="TOC2"/>
            <w:rPr>
              <w:rFonts w:asciiTheme="minorHAnsi" w:eastAsiaTheme="minorEastAsia" w:hAnsiTheme="minorHAnsi" w:cstheme="minorBidi"/>
              <w:noProof/>
              <w:kern w:val="2"/>
              <w:szCs w:val="24"/>
              <w14:ligatures w14:val="standardContextual"/>
            </w:rPr>
          </w:pPr>
          <w:hyperlink w:anchor="_Toc232850307" w:history="1">
            <w:r w:rsidRPr="00B2411A">
              <w:rPr>
                <w:rStyle w:val="Hyperlink"/>
                <w:noProof/>
              </w:rPr>
              <w:t>1.1</w:t>
            </w:r>
            <w:r>
              <w:rPr>
                <w:rFonts w:asciiTheme="minorHAnsi" w:eastAsiaTheme="minorEastAsia" w:hAnsiTheme="minorHAnsi" w:cstheme="minorBidi"/>
                <w:noProof/>
                <w:kern w:val="2"/>
                <w:szCs w:val="24"/>
                <w14:ligatures w14:val="standardContextual"/>
              </w:rPr>
              <w:tab/>
            </w:r>
            <w:r w:rsidRPr="00B2411A">
              <w:rPr>
                <w:rStyle w:val="Hyperlink"/>
                <w:noProof/>
              </w:rPr>
              <w:t>Background</w:t>
            </w:r>
            <w:r>
              <w:rPr>
                <w:noProof/>
                <w:webHidden/>
              </w:rPr>
              <w:tab/>
            </w:r>
            <w:r>
              <w:rPr>
                <w:noProof/>
                <w:webHidden/>
              </w:rPr>
              <w:fldChar w:fldCharType="begin"/>
            </w:r>
            <w:r>
              <w:rPr>
                <w:noProof/>
                <w:webHidden/>
              </w:rPr>
              <w:instrText xml:space="preserve"> PAGEREF _Toc232850307 \h </w:instrText>
            </w:r>
            <w:r>
              <w:rPr>
                <w:noProof/>
                <w:webHidden/>
              </w:rPr>
            </w:r>
            <w:r>
              <w:rPr>
                <w:noProof/>
                <w:webHidden/>
              </w:rPr>
              <w:fldChar w:fldCharType="separate"/>
            </w:r>
            <w:r>
              <w:rPr>
                <w:noProof/>
                <w:webHidden/>
              </w:rPr>
              <w:t>1</w:t>
            </w:r>
            <w:r>
              <w:rPr>
                <w:noProof/>
                <w:webHidden/>
              </w:rPr>
              <w:fldChar w:fldCharType="end"/>
            </w:r>
          </w:hyperlink>
        </w:p>
        <w:p w14:paraId="173F35C4" w14:textId="4E7BDABF" w:rsidR="00B3476D" w:rsidRDefault="00B3476D">
          <w:pPr>
            <w:pStyle w:val="TOC2"/>
            <w:rPr>
              <w:rFonts w:asciiTheme="minorHAnsi" w:eastAsiaTheme="minorEastAsia" w:hAnsiTheme="minorHAnsi" w:cstheme="minorBidi"/>
              <w:noProof/>
              <w:kern w:val="2"/>
              <w:szCs w:val="24"/>
              <w14:ligatures w14:val="standardContextual"/>
            </w:rPr>
          </w:pPr>
          <w:hyperlink w:anchor="_Toc232850308" w:history="1">
            <w:r w:rsidRPr="00B2411A">
              <w:rPr>
                <w:rStyle w:val="Hyperlink"/>
                <w:noProof/>
              </w:rPr>
              <w:t>1.2</w:t>
            </w:r>
            <w:r>
              <w:rPr>
                <w:rFonts w:asciiTheme="minorHAnsi" w:eastAsiaTheme="minorEastAsia" w:hAnsiTheme="minorHAnsi" w:cstheme="minorBidi"/>
                <w:noProof/>
                <w:kern w:val="2"/>
                <w:szCs w:val="24"/>
                <w14:ligatures w14:val="standardContextual"/>
              </w:rPr>
              <w:tab/>
            </w:r>
            <w:r w:rsidRPr="00B2411A">
              <w:rPr>
                <w:rStyle w:val="Hyperlink"/>
                <w:noProof/>
              </w:rPr>
              <w:t>Statement of the Problem</w:t>
            </w:r>
            <w:r>
              <w:rPr>
                <w:noProof/>
                <w:webHidden/>
              </w:rPr>
              <w:tab/>
            </w:r>
            <w:r>
              <w:rPr>
                <w:noProof/>
                <w:webHidden/>
              </w:rPr>
              <w:fldChar w:fldCharType="begin"/>
            </w:r>
            <w:r>
              <w:rPr>
                <w:noProof/>
                <w:webHidden/>
              </w:rPr>
              <w:instrText xml:space="preserve"> PAGEREF _Toc232850308 \h </w:instrText>
            </w:r>
            <w:r>
              <w:rPr>
                <w:noProof/>
                <w:webHidden/>
              </w:rPr>
            </w:r>
            <w:r>
              <w:rPr>
                <w:noProof/>
                <w:webHidden/>
              </w:rPr>
              <w:fldChar w:fldCharType="separate"/>
            </w:r>
            <w:r>
              <w:rPr>
                <w:noProof/>
                <w:webHidden/>
              </w:rPr>
              <w:t>3</w:t>
            </w:r>
            <w:r>
              <w:rPr>
                <w:noProof/>
                <w:webHidden/>
              </w:rPr>
              <w:fldChar w:fldCharType="end"/>
            </w:r>
          </w:hyperlink>
        </w:p>
        <w:p w14:paraId="6EFE55C6" w14:textId="59887C7F" w:rsidR="00B3476D" w:rsidRDefault="00B3476D">
          <w:pPr>
            <w:pStyle w:val="TOC2"/>
            <w:rPr>
              <w:rFonts w:asciiTheme="minorHAnsi" w:eastAsiaTheme="minorEastAsia" w:hAnsiTheme="minorHAnsi" w:cstheme="minorBidi"/>
              <w:noProof/>
              <w:kern w:val="2"/>
              <w:szCs w:val="24"/>
              <w14:ligatures w14:val="standardContextual"/>
            </w:rPr>
          </w:pPr>
          <w:hyperlink w:anchor="_Toc232850309" w:history="1">
            <w:r w:rsidRPr="00B2411A">
              <w:rPr>
                <w:rStyle w:val="Hyperlink"/>
                <w:rFonts w:eastAsia="Times New Roman"/>
                <w:noProof/>
              </w:rPr>
              <w:t>1.3</w:t>
            </w:r>
            <w:r>
              <w:rPr>
                <w:rFonts w:asciiTheme="minorHAnsi" w:eastAsiaTheme="minorEastAsia" w:hAnsiTheme="minorHAnsi" w:cstheme="minorBidi"/>
                <w:noProof/>
                <w:kern w:val="2"/>
                <w:szCs w:val="24"/>
                <w14:ligatures w14:val="standardContextual"/>
              </w:rPr>
              <w:tab/>
            </w:r>
            <w:r w:rsidRPr="00B2411A">
              <w:rPr>
                <w:rStyle w:val="Hyperlink"/>
                <w:noProof/>
              </w:rPr>
              <w:t>Literature Review</w:t>
            </w:r>
            <w:r>
              <w:rPr>
                <w:noProof/>
                <w:webHidden/>
              </w:rPr>
              <w:tab/>
            </w:r>
            <w:r>
              <w:rPr>
                <w:noProof/>
                <w:webHidden/>
              </w:rPr>
              <w:fldChar w:fldCharType="begin"/>
            </w:r>
            <w:r>
              <w:rPr>
                <w:noProof/>
                <w:webHidden/>
              </w:rPr>
              <w:instrText xml:space="preserve"> PAGEREF _Toc232850309 \h </w:instrText>
            </w:r>
            <w:r>
              <w:rPr>
                <w:noProof/>
                <w:webHidden/>
              </w:rPr>
            </w:r>
            <w:r>
              <w:rPr>
                <w:noProof/>
                <w:webHidden/>
              </w:rPr>
              <w:fldChar w:fldCharType="separate"/>
            </w:r>
            <w:r>
              <w:rPr>
                <w:noProof/>
                <w:webHidden/>
              </w:rPr>
              <w:t>4</w:t>
            </w:r>
            <w:r>
              <w:rPr>
                <w:noProof/>
                <w:webHidden/>
              </w:rPr>
              <w:fldChar w:fldCharType="end"/>
            </w:r>
          </w:hyperlink>
        </w:p>
        <w:p w14:paraId="2E2D8843" w14:textId="452D2998" w:rsidR="00B3476D" w:rsidRDefault="00B3476D">
          <w:pPr>
            <w:pStyle w:val="TOC2"/>
            <w:rPr>
              <w:rFonts w:asciiTheme="minorHAnsi" w:eastAsiaTheme="minorEastAsia" w:hAnsiTheme="minorHAnsi" w:cstheme="minorBidi"/>
              <w:noProof/>
              <w:kern w:val="2"/>
              <w:szCs w:val="24"/>
              <w14:ligatures w14:val="standardContextual"/>
            </w:rPr>
          </w:pPr>
          <w:hyperlink w:anchor="_Toc232850310" w:history="1">
            <w:r w:rsidRPr="00B2411A">
              <w:rPr>
                <w:rStyle w:val="Hyperlink"/>
                <w:noProof/>
              </w:rPr>
              <w:t>1.4</w:t>
            </w:r>
            <w:r>
              <w:rPr>
                <w:rFonts w:asciiTheme="minorHAnsi" w:eastAsiaTheme="minorEastAsia" w:hAnsiTheme="minorHAnsi" w:cstheme="minorBidi"/>
                <w:noProof/>
                <w:kern w:val="2"/>
                <w:szCs w:val="24"/>
                <w14:ligatures w14:val="standardContextual"/>
              </w:rPr>
              <w:tab/>
            </w:r>
            <w:r w:rsidRPr="00B2411A">
              <w:rPr>
                <w:rStyle w:val="Hyperlink"/>
                <w:noProof/>
              </w:rPr>
              <w:t>Objectives</w:t>
            </w:r>
            <w:r>
              <w:rPr>
                <w:noProof/>
                <w:webHidden/>
              </w:rPr>
              <w:tab/>
            </w:r>
            <w:r>
              <w:rPr>
                <w:noProof/>
                <w:webHidden/>
              </w:rPr>
              <w:fldChar w:fldCharType="begin"/>
            </w:r>
            <w:r>
              <w:rPr>
                <w:noProof/>
                <w:webHidden/>
              </w:rPr>
              <w:instrText xml:space="preserve"> PAGEREF _Toc232850310 \h </w:instrText>
            </w:r>
            <w:r>
              <w:rPr>
                <w:noProof/>
                <w:webHidden/>
              </w:rPr>
            </w:r>
            <w:r>
              <w:rPr>
                <w:noProof/>
                <w:webHidden/>
              </w:rPr>
              <w:fldChar w:fldCharType="separate"/>
            </w:r>
            <w:r>
              <w:rPr>
                <w:noProof/>
                <w:webHidden/>
              </w:rPr>
              <w:t>6</w:t>
            </w:r>
            <w:r>
              <w:rPr>
                <w:noProof/>
                <w:webHidden/>
              </w:rPr>
              <w:fldChar w:fldCharType="end"/>
            </w:r>
          </w:hyperlink>
        </w:p>
        <w:p w14:paraId="23D14B95" w14:textId="7F8CA006" w:rsidR="00B3476D" w:rsidRDefault="00B3476D">
          <w:pPr>
            <w:pStyle w:val="TOC3"/>
            <w:tabs>
              <w:tab w:val="left" w:pos="1200"/>
              <w:tab w:val="right" w:leader="dot" w:pos="9350"/>
            </w:tabs>
            <w:rPr>
              <w:rFonts w:asciiTheme="minorHAnsi" w:eastAsiaTheme="minorEastAsia" w:hAnsiTheme="minorHAnsi"/>
              <w:noProof/>
            </w:rPr>
          </w:pPr>
          <w:hyperlink w:anchor="_Toc232850311" w:history="1">
            <w:r w:rsidRPr="00B2411A">
              <w:rPr>
                <w:rStyle w:val="Hyperlink"/>
                <w:rFonts w:eastAsia="Arial"/>
                <w:i/>
                <w:iCs/>
                <w:noProof/>
              </w:rPr>
              <w:t>1.4.1</w:t>
            </w:r>
            <w:r>
              <w:rPr>
                <w:rFonts w:asciiTheme="minorHAnsi" w:eastAsiaTheme="minorEastAsia" w:hAnsiTheme="minorHAnsi"/>
                <w:noProof/>
              </w:rPr>
              <w:tab/>
            </w:r>
            <w:r w:rsidRPr="00B2411A">
              <w:rPr>
                <w:rStyle w:val="Hyperlink"/>
                <w:rFonts w:eastAsia="Arial"/>
                <w:i/>
                <w:iCs/>
                <w:noProof/>
              </w:rPr>
              <w:t>Broad Objective</w:t>
            </w:r>
            <w:r>
              <w:rPr>
                <w:noProof/>
                <w:webHidden/>
              </w:rPr>
              <w:tab/>
            </w:r>
            <w:r>
              <w:rPr>
                <w:noProof/>
                <w:webHidden/>
              </w:rPr>
              <w:fldChar w:fldCharType="begin"/>
            </w:r>
            <w:r>
              <w:rPr>
                <w:noProof/>
                <w:webHidden/>
              </w:rPr>
              <w:instrText xml:space="preserve"> PAGEREF _Toc232850311 \h </w:instrText>
            </w:r>
            <w:r>
              <w:rPr>
                <w:noProof/>
                <w:webHidden/>
              </w:rPr>
            </w:r>
            <w:r>
              <w:rPr>
                <w:noProof/>
                <w:webHidden/>
              </w:rPr>
              <w:fldChar w:fldCharType="separate"/>
            </w:r>
            <w:r>
              <w:rPr>
                <w:noProof/>
                <w:webHidden/>
              </w:rPr>
              <w:t>6</w:t>
            </w:r>
            <w:r>
              <w:rPr>
                <w:noProof/>
                <w:webHidden/>
              </w:rPr>
              <w:fldChar w:fldCharType="end"/>
            </w:r>
          </w:hyperlink>
        </w:p>
        <w:p w14:paraId="2F4D536B" w14:textId="555A406B" w:rsidR="00B3476D" w:rsidRDefault="00B3476D">
          <w:pPr>
            <w:pStyle w:val="TOC3"/>
            <w:tabs>
              <w:tab w:val="left" w:pos="1200"/>
              <w:tab w:val="right" w:leader="dot" w:pos="9350"/>
            </w:tabs>
            <w:rPr>
              <w:rFonts w:asciiTheme="minorHAnsi" w:eastAsiaTheme="minorEastAsia" w:hAnsiTheme="minorHAnsi"/>
              <w:noProof/>
            </w:rPr>
          </w:pPr>
          <w:hyperlink w:anchor="_Toc232850312" w:history="1">
            <w:r w:rsidRPr="00B2411A">
              <w:rPr>
                <w:rStyle w:val="Hyperlink"/>
                <w:rFonts w:eastAsia="Arial"/>
                <w:i/>
                <w:iCs/>
                <w:noProof/>
              </w:rPr>
              <w:t>1.4.2</w:t>
            </w:r>
            <w:r>
              <w:rPr>
                <w:rFonts w:asciiTheme="minorHAnsi" w:eastAsiaTheme="minorEastAsia" w:hAnsiTheme="minorHAnsi"/>
                <w:noProof/>
              </w:rPr>
              <w:tab/>
            </w:r>
            <w:r w:rsidRPr="00B2411A">
              <w:rPr>
                <w:rStyle w:val="Hyperlink"/>
                <w:rFonts w:eastAsia="Arial"/>
                <w:i/>
                <w:iCs/>
                <w:noProof/>
              </w:rPr>
              <w:t>Specific Objectives</w:t>
            </w:r>
            <w:r>
              <w:rPr>
                <w:noProof/>
                <w:webHidden/>
              </w:rPr>
              <w:tab/>
            </w:r>
            <w:r>
              <w:rPr>
                <w:noProof/>
                <w:webHidden/>
              </w:rPr>
              <w:fldChar w:fldCharType="begin"/>
            </w:r>
            <w:r>
              <w:rPr>
                <w:noProof/>
                <w:webHidden/>
              </w:rPr>
              <w:instrText xml:space="preserve"> PAGEREF _Toc232850312 \h </w:instrText>
            </w:r>
            <w:r>
              <w:rPr>
                <w:noProof/>
                <w:webHidden/>
              </w:rPr>
            </w:r>
            <w:r>
              <w:rPr>
                <w:noProof/>
                <w:webHidden/>
              </w:rPr>
              <w:fldChar w:fldCharType="separate"/>
            </w:r>
            <w:r>
              <w:rPr>
                <w:noProof/>
                <w:webHidden/>
              </w:rPr>
              <w:t>6</w:t>
            </w:r>
            <w:r>
              <w:rPr>
                <w:noProof/>
                <w:webHidden/>
              </w:rPr>
              <w:fldChar w:fldCharType="end"/>
            </w:r>
          </w:hyperlink>
        </w:p>
        <w:p w14:paraId="448603DE" w14:textId="2550FAA4" w:rsidR="00B3476D" w:rsidRDefault="00B3476D">
          <w:pPr>
            <w:pStyle w:val="TOC2"/>
            <w:rPr>
              <w:rFonts w:asciiTheme="minorHAnsi" w:eastAsiaTheme="minorEastAsia" w:hAnsiTheme="minorHAnsi" w:cstheme="minorBidi"/>
              <w:noProof/>
              <w:kern w:val="2"/>
              <w:szCs w:val="24"/>
              <w14:ligatures w14:val="standardContextual"/>
            </w:rPr>
          </w:pPr>
          <w:hyperlink w:anchor="_Toc232850313" w:history="1">
            <w:r w:rsidRPr="00B2411A">
              <w:rPr>
                <w:rStyle w:val="Hyperlink"/>
                <w:noProof/>
              </w:rPr>
              <w:t>1.5</w:t>
            </w:r>
            <w:r>
              <w:rPr>
                <w:rFonts w:asciiTheme="minorHAnsi" w:eastAsiaTheme="minorEastAsia" w:hAnsiTheme="minorHAnsi" w:cstheme="minorBidi"/>
                <w:noProof/>
                <w:kern w:val="2"/>
                <w:szCs w:val="24"/>
                <w14:ligatures w14:val="standardContextual"/>
              </w:rPr>
              <w:tab/>
            </w:r>
            <w:r w:rsidRPr="00B2411A">
              <w:rPr>
                <w:rStyle w:val="Hyperlink"/>
                <w:noProof/>
              </w:rPr>
              <w:t>Conceptual Framework</w:t>
            </w:r>
            <w:r>
              <w:rPr>
                <w:noProof/>
                <w:webHidden/>
              </w:rPr>
              <w:tab/>
            </w:r>
            <w:r>
              <w:rPr>
                <w:noProof/>
                <w:webHidden/>
              </w:rPr>
              <w:fldChar w:fldCharType="begin"/>
            </w:r>
            <w:r>
              <w:rPr>
                <w:noProof/>
                <w:webHidden/>
              </w:rPr>
              <w:instrText xml:space="preserve"> PAGEREF _Toc232850313 \h </w:instrText>
            </w:r>
            <w:r>
              <w:rPr>
                <w:noProof/>
                <w:webHidden/>
              </w:rPr>
            </w:r>
            <w:r>
              <w:rPr>
                <w:noProof/>
                <w:webHidden/>
              </w:rPr>
              <w:fldChar w:fldCharType="separate"/>
            </w:r>
            <w:r>
              <w:rPr>
                <w:noProof/>
                <w:webHidden/>
              </w:rPr>
              <w:t>6</w:t>
            </w:r>
            <w:r>
              <w:rPr>
                <w:noProof/>
                <w:webHidden/>
              </w:rPr>
              <w:fldChar w:fldCharType="end"/>
            </w:r>
          </w:hyperlink>
        </w:p>
        <w:p w14:paraId="644F26E0" w14:textId="1FA84475" w:rsidR="00B3476D" w:rsidRDefault="00B3476D">
          <w:pPr>
            <w:pStyle w:val="TOC1"/>
            <w:rPr>
              <w:rFonts w:asciiTheme="minorHAnsi" w:eastAsiaTheme="minorEastAsia" w:hAnsiTheme="minorHAnsi" w:cstheme="minorBidi"/>
              <w:noProof/>
              <w:kern w:val="2"/>
              <w:szCs w:val="24"/>
              <w14:ligatures w14:val="standardContextual"/>
            </w:rPr>
          </w:pPr>
          <w:hyperlink w:anchor="_Toc232850314" w:history="1">
            <w:r>
              <w:rPr>
                <w:rFonts w:asciiTheme="minorHAnsi" w:eastAsiaTheme="minorEastAsia" w:hAnsiTheme="minorHAnsi" w:cstheme="minorBidi"/>
                <w:noProof/>
                <w:kern w:val="2"/>
                <w:szCs w:val="24"/>
                <w14:ligatures w14:val="standardContextual"/>
              </w:rPr>
              <w:tab/>
            </w:r>
            <w:r w:rsidRPr="00B2411A">
              <w:rPr>
                <w:rStyle w:val="Hyperlink"/>
                <w:noProof/>
              </w:rPr>
              <w:t>Chapter 2 Methods</w:t>
            </w:r>
            <w:r>
              <w:rPr>
                <w:noProof/>
                <w:webHidden/>
              </w:rPr>
              <w:tab/>
            </w:r>
            <w:r>
              <w:rPr>
                <w:noProof/>
                <w:webHidden/>
              </w:rPr>
              <w:fldChar w:fldCharType="begin"/>
            </w:r>
            <w:r>
              <w:rPr>
                <w:noProof/>
                <w:webHidden/>
              </w:rPr>
              <w:instrText xml:space="preserve"> PAGEREF _Toc232850314 \h </w:instrText>
            </w:r>
            <w:r>
              <w:rPr>
                <w:noProof/>
                <w:webHidden/>
              </w:rPr>
            </w:r>
            <w:r>
              <w:rPr>
                <w:noProof/>
                <w:webHidden/>
              </w:rPr>
              <w:fldChar w:fldCharType="separate"/>
            </w:r>
            <w:r>
              <w:rPr>
                <w:noProof/>
                <w:webHidden/>
              </w:rPr>
              <w:t>8</w:t>
            </w:r>
            <w:r>
              <w:rPr>
                <w:noProof/>
                <w:webHidden/>
              </w:rPr>
              <w:fldChar w:fldCharType="end"/>
            </w:r>
          </w:hyperlink>
        </w:p>
        <w:p w14:paraId="4B93474D" w14:textId="430D842F" w:rsidR="00B3476D" w:rsidRDefault="00B3476D">
          <w:pPr>
            <w:pStyle w:val="TOC2"/>
            <w:rPr>
              <w:rFonts w:asciiTheme="minorHAnsi" w:eastAsiaTheme="minorEastAsia" w:hAnsiTheme="minorHAnsi" w:cstheme="minorBidi"/>
              <w:noProof/>
              <w:kern w:val="2"/>
              <w:szCs w:val="24"/>
              <w14:ligatures w14:val="standardContextual"/>
            </w:rPr>
          </w:pPr>
          <w:hyperlink w:anchor="_Toc232850315" w:history="1">
            <w:r w:rsidRPr="00B2411A">
              <w:rPr>
                <w:rStyle w:val="Hyperlink"/>
                <w:noProof/>
              </w:rPr>
              <w:t>2.1</w:t>
            </w:r>
            <w:r>
              <w:rPr>
                <w:rFonts w:asciiTheme="minorHAnsi" w:eastAsiaTheme="minorEastAsia" w:hAnsiTheme="minorHAnsi" w:cstheme="minorBidi"/>
                <w:noProof/>
                <w:kern w:val="2"/>
                <w:szCs w:val="24"/>
                <w14:ligatures w14:val="standardContextual"/>
              </w:rPr>
              <w:tab/>
            </w:r>
            <w:r w:rsidRPr="00B2411A">
              <w:rPr>
                <w:rStyle w:val="Hyperlink"/>
                <w:noProof/>
              </w:rPr>
              <w:t>Type of research study</w:t>
            </w:r>
            <w:r>
              <w:rPr>
                <w:noProof/>
                <w:webHidden/>
              </w:rPr>
              <w:tab/>
            </w:r>
            <w:r>
              <w:rPr>
                <w:noProof/>
                <w:webHidden/>
              </w:rPr>
              <w:fldChar w:fldCharType="begin"/>
            </w:r>
            <w:r>
              <w:rPr>
                <w:noProof/>
                <w:webHidden/>
              </w:rPr>
              <w:instrText xml:space="preserve"> PAGEREF _Toc232850315 \h </w:instrText>
            </w:r>
            <w:r>
              <w:rPr>
                <w:noProof/>
                <w:webHidden/>
              </w:rPr>
            </w:r>
            <w:r>
              <w:rPr>
                <w:noProof/>
                <w:webHidden/>
              </w:rPr>
              <w:fldChar w:fldCharType="separate"/>
            </w:r>
            <w:r>
              <w:rPr>
                <w:noProof/>
                <w:webHidden/>
              </w:rPr>
              <w:t>8</w:t>
            </w:r>
            <w:r>
              <w:rPr>
                <w:noProof/>
                <w:webHidden/>
              </w:rPr>
              <w:fldChar w:fldCharType="end"/>
            </w:r>
          </w:hyperlink>
        </w:p>
        <w:p w14:paraId="6C232C56" w14:textId="00DF5FDB" w:rsidR="00B3476D" w:rsidRDefault="00B3476D">
          <w:pPr>
            <w:pStyle w:val="TOC2"/>
            <w:rPr>
              <w:rFonts w:asciiTheme="minorHAnsi" w:eastAsiaTheme="minorEastAsia" w:hAnsiTheme="minorHAnsi" w:cstheme="minorBidi"/>
              <w:noProof/>
              <w:kern w:val="2"/>
              <w:szCs w:val="24"/>
              <w14:ligatures w14:val="standardContextual"/>
            </w:rPr>
          </w:pPr>
          <w:hyperlink w:anchor="_Toc232850316" w:history="1">
            <w:r w:rsidRPr="00B2411A">
              <w:rPr>
                <w:rStyle w:val="Hyperlink"/>
                <w:noProof/>
              </w:rPr>
              <w:t>2.2</w:t>
            </w:r>
            <w:r>
              <w:rPr>
                <w:rFonts w:asciiTheme="minorHAnsi" w:eastAsiaTheme="minorEastAsia" w:hAnsiTheme="minorHAnsi" w:cstheme="minorBidi"/>
                <w:noProof/>
                <w:kern w:val="2"/>
                <w:szCs w:val="24"/>
                <w14:ligatures w14:val="standardContextual"/>
              </w:rPr>
              <w:tab/>
            </w:r>
            <w:r w:rsidRPr="00B2411A">
              <w:rPr>
                <w:rStyle w:val="Hyperlink"/>
                <w:noProof/>
              </w:rPr>
              <w:t>Study Place</w:t>
            </w:r>
            <w:r>
              <w:rPr>
                <w:noProof/>
                <w:webHidden/>
              </w:rPr>
              <w:tab/>
            </w:r>
            <w:r>
              <w:rPr>
                <w:noProof/>
                <w:webHidden/>
              </w:rPr>
              <w:fldChar w:fldCharType="begin"/>
            </w:r>
            <w:r>
              <w:rPr>
                <w:noProof/>
                <w:webHidden/>
              </w:rPr>
              <w:instrText xml:space="preserve"> PAGEREF _Toc232850316 \h </w:instrText>
            </w:r>
            <w:r>
              <w:rPr>
                <w:noProof/>
                <w:webHidden/>
              </w:rPr>
            </w:r>
            <w:r>
              <w:rPr>
                <w:noProof/>
                <w:webHidden/>
              </w:rPr>
              <w:fldChar w:fldCharType="separate"/>
            </w:r>
            <w:r>
              <w:rPr>
                <w:noProof/>
                <w:webHidden/>
              </w:rPr>
              <w:t>8</w:t>
            </w:r>
            <w:r>
              <w:rPr>
                <w:noProof/>
                <w:webHidden/>
              </w:rPr>
              <w:fldChar w:fldCharType="end"/>
            </w:r>
          </w:hyperlink>
        </w:p>
        <w:p w14:paraId="1C68D781" w14:textId="37837FCE" w:rsidR="00B3476D" w:rsidRDefault="00B3476D">
          <w:pPr>
            <w:pStyle w:val="TOC2"/>
            <w:rPr>
              <w:rFonts w:asciiTheme="minorHAnsi" w:eastAsiaTheme="minorEastAsia" w:hAnsiTheme="minorHAnsi" w:cstheme="minorBidi"/>
              <w:noProof/>
              <w:kern w:val="2"/>
              <w:szCs w:val="24"/>
              <w14:ligatures w14:val="standardContextual"/>
            </w:rPr>
          </w:pPr>
          <w:hyperlink w:anchor="_Toc232850317" w:history="1">
            <w:r w:rsidRPr="00B2411A">
              <w:rPr>
                <w:rStyle w:val="Hyperlink"/>
                <w:noProof/>
              </w:rPr>
              <w:t>2.3</w:t>
            </w:r>
            <w:r>
              <w:rPr>
                <w:rFonts w:asciiTheme="minorHAnsi" w:eastAsiaTheme="minorEastAsia" w:hAnsiTheme="minorHAnsi" w:cstheme="minorBidi"/>
                <w:noProof/>
                <w:kern w:val="2"/>
                <w:szCs w:val="24"/>
                <w14:ligatures w14:val="standardContextual"/>
              </w:rPr>
              <w:tab/>
            </w:r>
            <w:r w:rsidRPr="00B2411A">
              <w:rPr>
                <w:rStyle w:val="Hyperlink"/>
                <w:noProof/>
              </w:rPr>
              <w:t>Study population</w:t>
            </w:r>
            <w:r>
              <w:rPr>
                <w:noProof/>
                <w:webHidden/>
              </w:rPr>
              <w:tab/>
            </w:r>
            <w:r>
              <w:rPr>
                <w:noProof/>
                <w:webHidden/>
              </w:rPr>
              <w:fldChar w:fldCharType="begin"/>
            </w:r>
            <w:r>
              <w:rPr>
                <w:noProof/>
                <w:webHidden/>
              </w:rPr>
              <w:instrText xml:space="preserve"> PAGEREF _Toc232850317 \h </w:instrText>
            </w:r>
            <w:r>
              <w:rPr>
                <w:noProof/>
                <w:webHidden/>
              </w:rPr>
            </w:r>
            <w:r>
              <w:rPr>
                <w:noProof/>
                <w:webHidden/>
              </w:rPr>
              <w:fldChar w:fldCharType="separate"/>
            </w:r>
            <w:r>
              <w:rPr>
                <w:noProof/>
                <w:webHidden/>
              </w:rPr>
              <w:t>8</w:t>
            </w:r>
            <w:r>
              <w:rPr>
                <w:noProof/>
                <w:webHidden/>
              </w:rPr>
              <w:fldChar w:fldCharType="end"/>
            </w:r>
          </w:hyperlink>
        </w:p>
        <w:p w14:paraId="7D2037DE" w14:textId="5FD805F8" w:rsidR="00B3476D" w:rsidRDefault="00B3476D">
          <w:pPr>
            <w:pStyle w:val="TOC2"/>
            <w:rPr>
              <w:rFonts w:asciiTheme="minorHAnsi" w:eastAsiaTheme="minorEastAsia" w:hAnsiTheme="minorHAnsi" w:cstheme="minorBidi"/>
              <w:noProof/>
              <w:kern w:val="2"/>
              <w:szCs w:val="24"/>
              <w14:ligatures w14:val="standardContextual"/>
            </w:rPr>
          </w:pPr>
          <w:hyperlink w:anchor="_Toc232850318" w:history="1">
            <w:r w:rsidRPr="00B2411A">
              <w:rPr>
                <w:rStyle w:val="Hyperlink"/>
                <w:noProof/>
              </w:rPr>
              <w:t>2.4</w:t>
            </w:r>
            <w:r>
              <w:rPr>
                <w:rFonts w:asciiTheme="minorHAnsi" w:eastAsiaTheme="minorEastAsia" w:hAnsiTheme="minorHAnsi" w:cstheme="minorBidi"/>
                <w:noProof/>
                <w:kern w:val="2"/>
                <w:szCs w:val="24"/>
                <w14:ligatures w14:val="standardContextual"/>
              </w:rPr>
              <w:tab/>
            </w:r>
            <w:r w:rsidRPr="00B2411A">
              <w:rPr>
                <w:rStyle w:val="Hyperlink"/>
                <w:noProof/>
              </w:rPr>
              <w:t>Study period</w:t>
            </w:r>
            <w:r>
              <w:rPr>
                <w:noProof/>
                <w:webHidden/>
              </w:rPr>
              <w:tab/>
            </w:r>
            <w:r>
              <w:rPr>
                <w:noProof/>
                <w:webHidden/>
              </w:rPr>
              <w:fldChar w:fldCharType="begin"/>
            </w:r>
            <w:r>
              <w:rPr>
                <w:noProof/>
                <w:webHidden/>
              </w:rPr>
              <w:instrText xml:space="preserve"> PAGEREF _Toc232850318 \h </w:instrText>
            </w:r>
            <w:r>
              <w:rPr>
                <w:noProof/>
                <w:webHidden/>
              </w:rPr>
            </w:r>
            <w:r>
              <w:rPr>
                <w:noProof/>
                <w:webHidden/>
              </w:rPr>
              <w:fldChar w:fldCharType="separate"/>
            </w:r>
            <w:r>
              <w:rPr>
                <w:noProof/>
                <w:webHidden/>
              </w:rPr>
              <w:t>9</w:t>
            </w:r>
            <w:r>
              <w:rPr>
                <w:noProof/>
                <w:webHidden/>
              </w:rPr>
              <w:fldChar w:fldCharType="end"/>
            </w:r>
          </w:hyperlink>
        </w:p>
        <w:p w14:paraId="580C2ED7" w14:textId="63D4FB8F" w:rsidR="00B3476D" w:rsidRDefault="00B3476D">
          <w:pPr>
            <w:pStyle w:val="TOC2"/>
            <w:rPr>
              <w:rFonts w:asciiTheme="minorHAnsi" w:eastAsiaTheme="minorEastAsia" w:hAnsiTheme="minorHAnsi" w:cstheme="minorBidi"/>
              <w:noProof/>
              <w:kern w:val="2"/>
              <w:szCs w:val="24"/>
              <w14:ligatures w14:val="standardContextual"/>
            </w:rPr>
          </w:pPr>
          <w:hyperlink w:anchor="_Toc232850319" w:history="1">
            <w:r w:rsidRPr="00B2411A">
              <w:rPr>
                <w:rStyle w:val="Hyperlink"/>
                <w:noProof/>
              </w:rPr>
              <w:t>2.5</w:t>
            </w:r>
            <w:r>
              <w:rPr>
                <w:rFonts w:asciiTheme="minorHAnsi" w:eastAsiaTheme="minorEastAsia" w:hAnsiTheme="minorHAnsi" w:cstheme="minorBidi"/>
                <w:noProof/>
                <w:kern w:val="2"/>
                <w:szCs w:val="24"/>
                <w14:ligatures w14:val="standardContextual"/>
              </w:rPr>
              <w:tab/>
            </w:r>
            <w:r w:rsidRPr="00B2411A">
              <w:rPr>
                <w:rStyle w:val="Hyperlink"/>
                <w:noProof/>
              </w:rPr>
              <w:t>Sample size</w:t>
            </w:r>
            <w:r>
              <w:rPr>
                <w:noProof/>
                <w:webHidden/>
              </w:rPr>
              <w:tab/>
            </w:r>
            <w:r>
              <w:rPr>
                <w:noProof/>
                <w:webHidden/>
              </w:rPr>
              <w:fldChar w:fldCharType="begin"/>
            </w:r>
            <w:r>
              <w:rPr>
                <w:noProof/>
                <w:webHidden/>
              </w:rPr>
              <w:instrText xml:space="preserve"> PAGEREF _Toc232850319 \h </w:instrText>
            </w:r>
            <w:r>
              <w:rPr>
                <w:noProof/>
                <w:webHidden/>
              </w:rPr>
            </w:r>
            <w:r>
              <w:rPr>
                <w:noProof/>
                <w:webHidden/>
              </w:rPr>
              <w:fldChar w:fldCharType="separate"/>
            </w:r>
            <w:r>
              <w:rPr>
                <w:noProof/>
                <w:webHidden/>
              </w:rPr>
              <w:t>10</w:t>
            </w:r>
            <w:r>
              <w:rPr>
                <w:noProof/>
                <w:webHidden/>
              </w:rPr>
              <w:fldChar w:fldCharType="end"/>
            </w:r>
          </w:hyperlink>
        </w:p>
        <w:p w14:paraId="666DDD39" w14:textId="7393DF53" w:rsidR="00B3476D" w:rsidRDefault="00B3476D">
          <w:pPr>
            <w:pStyle w:val="TOC2"/>
            <w:rPr>
              <w:rFonts w:asciiTheme="minorHAnsi" w:eastAsiaTheme="minorEastAsia" w:hAnsiTheme="minorHAnsi" w:cstheme="minorBidi"/>
              <w:noProof/>
              <w:kern w:val="2"/>
              <w:szCs w:val="24"/>
              <w14:ligatures w14:val="standardContextual"/>
            </w:rPr>
          </w:pPr>
          <w:hyperlink w:anchor="_Toc232850320" w:history="1">
            <w:r w:rsidRPr="00B2411A">
              <w:rPr>
                <w:rStyle w:val="Hyperlink"/>
                <w:noProof/>
              </w:rPr>
              <w:t>2.6</w:t>
            </w:r>
            <w:r>
              <w:rPr>
                <w:rFonts w:asciiTheme="minorHAnsi" w:eastAsiaTheme="minorEastAsia" w:hAnsiTheme="minorHAnsi" w:cstheme="minorBidi"/>
                <w:noProof/>
                <w:kern w:val="2"/>
                <w:szCs w:val="24"/>
                <w14:ligatures w14:val="standardContextual"/>
              </w:rPr>
              <w:tab/>
            </w:r>
            <w:r w:rsidRPr="00B2411A">
              <w:rPr>
                <w:rStyle w:val="Hyperlink"/>
                <w:noProof/>
              </w:rPr>
              <w:t>Data Extraction</w:t>
            </w:r>
            <w:r>
              <w:rPr>
                <w:noProof/>
                <w:webHidden/>
              </w:rPr>
              <w:tab/>
            </w:r>
            <w:r>
              <w:rPr>
                <w:noProof/>
                <w:webHidden/>
              </w:rPr>
              <w:fldChar w:fldCharType="begin"/>
            </w:r>
            <w:r>
              <w:rPr>
                <w:noProof/>
                <w:webHidden/>
              </w:rPr>
              <w:instrText xml:space="preserve"> PAGEREF _Toc232850320 \h </w:instrText>
            </w:r>
            <w:r>
              <w:rPr>
                <w:noProof/>
                <w:webHidden/>
              </w:rPr>
            </w:r>
            <w:r>
              <w:rPr>
                <w:noProof/>
                <w:webHidden/>
              </w:rPr>
              <w:fldChar w:fldCharType="separate"/>
            </w:r>
            <w:r>
              <w:rPr>
                <w:noProof/>
                <w:webHidden/>
              </w:rPr>
              <w:t>10</w:t>
            </w:r>
            <w:r>
              <w:rPr>
                <w:noProof/>
                <w:webHidden/>
              </w:rPr>
              <w:fldChar w:fldCharType="end"/>
            </w:r>
          </w:hyperlink>
        </w:p>
        <w:p w14:paraId="1FCCBBDC" w14:textId="0564BF6E" w:rsidR="00B3476D" w:rsidRDefault="00B3476D">
          <w:pPr>
            <w:pStyle w:val="TOC2"/>
            <w:rPr>
              <w:rFonts w:asciiTheme="minorHAnsi" w:eastAsiaTheme="minorEastAsia" w:hAnsiTheme="minorHAnsi" w:cstheme="minorBidi"/>
              <w:noProof/>
              <w:kern w:val="2"/>
              <w:szCs w:val="24"/>
              <w14:ligatures w14:val="standardContextual"/>
            </w:rPr>
          </w:pPr>
          <w:hyperlink w:anchor="_Toc232850321" w:history="1">
            <w:r w:rsidRPr="00B2411A">
              <w:rPr>
                <w:rStyle w:val="Hyperlink"/>
                <w:noProof/>
              </w:rPr>
              <w:t>2.7</w:t>
            </w:r>
            <w:r>
              <w:rPr>
                <w:rFonts w:asciiTheme="minorHAnsi" w:eastAsiaTheme="minorEastAsia" w:hAnsiTheme="minorHAnsi" w:cstheme="minorBidi"/>
                <w:noProof/>
                <w:kern w:val="2"/>
                <w:szCs w:val="24"/>
                <w14:ligatures w14:val="standardContextual"/>
              </w:rPr>
              <w:tab/>
            </w:r>
            <w:r w:rsidRPr="00B2411A">
              <w:rPr>
                <w:rStyle w:val="Hyperlink"/>
                <w:noProof/>
              </w:rPr>
              <w:t>Inclusion criteria</w:t>
            </w:r>
            <w:r>
              <w:rPr>
                <w:noProof/>
                <w:webHidden/>
              </w:rPr>
              <w:tab/>
            </w:r>
            <w:r>
              <w:rPr>
                <w:noProof/>
                <w:webHidden/>
              </w:rPr>
              <w:fldChar w:fldCharType="begin"/>
            </w:r>
            <w:r>
              <w:rPr>
                <w:noProof/>
                <w:webHidden/>
              </w:rPr>
              <w:instrText xml:space="preserve"> PAGEREF _Toc232850321 \h </w:instrText>
            </w:r>
            <w:r>
              <w:rPr>
                <w:noProof/>
                <w:webHidden/>
              </w:rPr>
            </w:r>
            <w:r>
              <w:rPr>
                <w:noProof/>
                <w:webHidden/>
              </w:rPr>
              <w:fldChar w:fldCharType="separate"/>
            </w:r>
            <w:r>
              <w:rPr>
                <w:noProof/>
                <w:webHidden/>
              </w:rPr>
              <w:t>11</w:t>
            </w:r>
            <w:r>
              <w:rPr>
                <w:noProof/>
                <w:webHidden/>
              </w:rPr>
              <w:fldChar w:fldCharType="end"/>
            </w:r>
          </w:hyperlink>
        </w:p>
        <w:p w14:paraId="0C4FACD5" w14:textId="68D43897" w:rsidR="00B3476D" w:rsidRDefault="00B3476D">
          <w:pPr>
            <w:pStyle w:val="TOC2"/>
            <w:rPr>
              <w:rFonts w:asciiTheme="minorHAnsi" w:eastAsiaTheme="minorEastAsia" w:hAnsiTheme="minorHAnsi" w:cstheme="minorBidi"/>
              <w:noProof/>
              <w:kern w:val="2"/>
              <w:szCs w:val="24"/>
              <w14:ligatures w14:val="standardContextual"/>
            </w:rPr>
          </w:pPr>
          <w:hyperlink w:anchor="_Toc232850322" w:history="1">
            <w:r w:rsidRPr="00B2411A">
              <w:rPr>
                <w:rStyle w:val="Hyperlink"/>
                <w:noProof/>
              </w:rPr>
              <w:t>2.8</w:t>
            </w:r>
            <w:r>
              <w:rPr>
                <w:rFonts w:asciiTheme="minorHAnsi" w:eastAsiaTheme="minorEastAsia" w:hAnsiTheme="minorHAnsi" w:cstheme="minorBidi"/>
                <w:noProof/>
                <w:kern w:val="2"/>
                <w:szCs w:val="24"/>
                <w14:ligatures w14:val="standardContextual"/>
              </w:rPr>
              <w:tab/>
            </w:r>
            <w:r w:rsidRPr="00B2411A">
              <w:rPr>
                <w:rStyle w:val="Hyperlink"/>
                <w:noProof/>
              </w:rPr>
              <w:t>Exclusion criteria</w:t>
            </w:r>
            <w:r>
              <w:rPr>
                <w:noProof/>
                <w:webHidden/>
              </w:rPr>
              <w:tab/>
            </w:r>
            <w:r>
              <w:rPr>
                <w:noProof/>
                <w:webHidden/>
              </w:rPr>
              <w:fldChar w:fldCharType="begin"/>
            </w:r>
            <w:r>
              <w:rPr>
                <w:noProof/>
                <w:webHidden/>
              </w:rPr>
              <w:instrText xml:space="preserve"> PAGEREF _Toc232850322 \h </w:instrText>
            </w:r>
            <w:r>
              <w:rPr>
                <w:noProof/>
                <w:webHidden/>
              </w:rPr>
            </w:r>
            <w:r>
              <w:rPr>
                <w:noProof/>
                <w:webHidden/>
              </w:rPr>
              <w:fldChar w:fldCharType="separate"/>
            </w:r>
            <w:r>
              <w:rPr>
                <w:noProof/>
                <w:webHidden/>
              </w:rPr>
              <w:t>11</w:t>
            </w:r>
            <w:r>
              <w:rPr>
                <w:noProof/>
                <w:webHidden/>
              </w:rPr>
              <w:fldChar w:fldCharType="end"/>
            </w:r>
          </w:hyperlink>
        </w:p>
        <w:p w14:paraId="67A62CE9" w14:textId="00581A3E" w:rsidR="00B3476D" w:rsidRDefault="00B3476D">
          <w:pPr>
            <w:pStyle w:val="TOC2"/>
            <w:rPr>
              <w:rFonts w:asciiTheme="minorHAnsi" w:eastAsiaTheme="minorEastAsia" w:hAnsiTheme="minorHAnsi" w:cstheme="minorBidi"/>
              <w:noProof/>
              <w:kern w:val="2"/>
              <w:szCs w:val="24"/>
              <w14:ligatures w14:val="standardContextual"/>
            </w:rPr>
          </w:pPr>
          <w:hyperlink w:anchor="_Toc232850323" w:history="1">
            <w:r w:rsidRPr="00B2411A">
              <w:rPr>
                <w:rStyle w:val="Hyperlink"/>
                <w:noProof/>
              </w:rPr>
              <w:t>2.9</w:t>
            </w:r>
            <w:r>
              <w:rPr>
                <w:rFonts w:asciiTheme="minorHAnsi" w:eastAsiaTheme="minorEastAsia" w:hAnsiTheme="minorHAnsi" w:cstheme="minorBidi"/>
                <w:noProof/>
                <w:kern w:val="2"/>
                <w:szCs w:val="24"/>
                <w14:ligatures w14:val="standardContextual"/>
              </w:rPr>
              <w:tab/>
            </w:r>
            <w:r w:rsidRPr="00B2411A">
              <w:rPr>
                <w:rStyle w:val="Hyperlink"/>
                <w:noProof/>
              </w:rPr>
              <w:t>Data management and analysis</w:t>
            </w:r>
            <w:r>
              <w:rPr>
                <w:noProof/>
                <w:webHidden/>
              </w:rPr>
              <w:tab/>
            </w:r>
            <w:r>
              <w:rPr>
                <w:noProof/>
                <w:webHidden/>
              </w:rPr>
              <w:fldChar w:fldCharType="begin"/>
            </w:r>
            <w:r>
              <w:rPr>
                <w:noProof/>
                <w:webHidden/>
              </w:rPr>
              <w:instrText xml:space="preserve"> PAGEREF _Toc232850323 \h </w:instrText>
            </w:r>
            <w:r>
              <w:rPr>
                <w:noProof/>
                <w:webHidden/>
              </w:rPr>
            </w:r>
            <w:r>
              <w:rPr>
                <w:noProof/>
                <w:webHidden/>
              </w:rPr>
              <w:fldChar w:fldCharType="separate"/>
            </w:r>
            <w:r>
              <w:rPr>
                <w:noProof/>
                <w:webHidden/>
              </w:rPr>
              <w:t>11</w:t>
            </w:r>
            <w:r>
              <w:rPr>
                <w:noProof/>
                <w:webHidden/>
              </w:rPr>
              <w:fldChar w:fldCharType="end"/>
            </w:r>
          </w:hyperlink>
        </w:p>
        <w:p w14:paraId="6D15D60F" w14:textId="6DB78F2D" w:rsidR="00B3476D" w:rsidRDefault="00B3476D">
          <w:pPr>
            <w:pStyle w:val="TOC1"/>
            <w:rPr>
              <w:rFonts w:asciiTheme="minorHAnsi" w:eastAsiaTheme="minorEastAsia" w:hAnsiTheme="minorHAnsi" w:cstheme="minorBidi"/>
              <w:noProof/>
              <w:kern w:val="2"/>
              <w:szCs w:val="24"/>
              <w14:ligatures w14:val="standardContextual"/>
            </w:rPr>
          </w:pPr>
          <w:hyperlink w:anchor="_Toc232850324" w:history="1">
            <w:r>
              <w:rPr>
                <w:rFonts w:asciiTheme="minorHAnsi" w:eastAsiaTheme="minorEastAsia" w:hAnsiTheme="minorHAnsi" w:cstheme="minorBidi"/>
                <w:noProof/>
                <w:kern w:val="2"/>
                <w:szCs w:val="24"/>
                <w14:ligatures w14:val="standardContextual"/>
              </w:rPr>
              <w:tab/>
            </w:r>
            <w:r w:rsidRPr="00B2411A">
              <w:rPr>
                <w:rStyle w:val="Hyperlink"/>
                <w:noProof/>
              </w:rPr>
              <w:t>Chapter 3 results</w:t>
            </w:r>
            <w:r>
              <w:rPr>
                <w:noProof/>
                <w:webHidden/>
              </w:rPr>
              <w:tab/>
            </w:r>
            <w:r>
              <w:rPr>
                <w:noProof/>
                <w:webHidden/>
              </w:rPr>
              <w:fldChar w:fldCharType="begin"/>
            </w:r>
            <w:r>
              <w:rPr>
                <w:noProof/>
                <w:webHidden/>
              </w:rPr>
              <w:instrText xml:space="preserve"> PAGEREF _Toc232850324 \h </w:instrText>
            </w:r>
            <w:r>
              <w:rPr>
                <w:noProof/>
                <w:webHidden/>
              </w:rPr>
            </w:r>
            <w:r>
              <w:rPr>
                <w:noProof/>
                <w:webHidden/>
              </w:rPr>
              <w:fldChar w:fldCharType="separate"/>
            </w:r>
            <w:r>
              <w:rPr>
                <w:noProof/>
                <w:webHidden/>
              </w:rPr>
              <w:t>13</w:t>
            </w:r>
            <w:r>
              <w:rPr>
                <w:noProof/>
                <w:webHidden/>
              </w:rPr>
              <w:fldChar w:fldCharType="end"/>
            </w:r>
          </w:hyperlink>
        </w:p>
        <w:p w14:paraId="79C20178" w14:textId="3A371FC4" w:rsidR="00B3476D" w:rsidRDefault="00B3476D">
          <w:pPr>
            <w:pStyle w:val="TOC2"/>
            <w:rPr>
              <w:rFonts w:asciiTheme="minorHAnsi" w:eastAsiaTheme="minorEastAsia" w:hAnsiTheme="minorHAnsi" w:cstheme="minorBidi"/>
              <w:noProof/>
              <w:kern w:val="2"/>
              <w:szCs w:val="24"/>
              <w14:ligatures w14:val="standardContextual"/>
            </w:rPr>
          </w:pPr>
          <w:hyperlink w:anchor="_Toc232850325" w:history="1">
            <w:r w:rsidRPr="00B2411A">
              <w:rPr>
                <w:rStyle w:val="Hyperlink"/>
                <w:noProof/>
              </w:rPr>
              <w:t>3.1</w:t>
            </w:r>
            <w:r>
              <w:rPr>
                <w:rFonts w:asciiTheme="minorHAnsi" w:eastAsiaTheme="minorEastAsia" w:hAnsiTheme="minorHAnsi" w:cstheme="minorBidi"/>
                <w:noProof/>
                <w:kern w:val="2"/>
                <w:szCs w:val="24"/>
                <w14:ligatures w14:val="standardContextual"/>
              </w:rPr>
              <w:tab/>
            </w:r>
            <w:r w:rsidRPr="00B2411A">
              <w:rPr>
                <w:rStyle w:val="Hyperlink"/>
                <w:noProof/>
              </w:rPr>
              <w:t>Introduction</w:t>
            </w:r>
            <w:r>
              <w:rPr>
                <w:noProof/>
                <w:webHidden/>
              </w:rPr>
              <w:tab/>
            </w:r>
            <w:r>
              <w:rPr>
                <w:noProof/>
                <w:webHidden/>
              </w:rPr>
              <w:fldChar w:fldCharType="begin"/>
            </w:r>
            <w:r>
              <w:rPr>
                <w:noProof/>
                <w:webHidden/>
              </w:rPr>
              <w:instrText xml:space="preserve"> PAGEREF _Toc232850325 \h </w:instrText>
            </w:r>
            <w:r>
              <w:rPr>
                <w:noProof/>
                <w:webHidden/>
              </w:rPr>
            </w:r>
            <w:r>
              <w:rPr>
                <w:noProof/>
                <w:webHidden/>
              </w:rPr>
              <w:fldChar w:fldCharType="separate"/>
            </w:r>
            <w:r>
              <w:rPr>
                <w:noProof/>
                <w:webHidden/>
              </w:rPr>
              <w:t>13</w:t>
            </w:r>
            <w:r>
              <w:rPr>
                <w:noProof/>
                <w:webHidden/>
              </w:rPr>
              <w:fldChar w:fldCharType="end"/>
            </w:r>
          </w:hyperlink>
        </w:p>
        <w:p w14:paraId="22BF5AE5" w14:textId="45562B8F" w:rsidR="00B3476D" w:rsidRDefault="00B3476D">
          <w:pPr>
            <w:pStyle w:val="TOC2"/>
            <w:rPr>
              <w:rFonts w:asciiTheme="minorHAnsi" w:eastAsiaTheme="minorEastAsia" w:hAnsiTheme="minorHAnsi" w:cstheme="minorBidi"/>
              <w:noProof/>
              <w:kern w:val="2"/>
              <w:szCs w:val="24"/>
              <w14:ligatures w14:val="standardContextual"/>
            </w:rPr>
          </w:pPr>
          <w:hyperlink w:anchor="_Toc232850326" w:history="1">
            <w:r w:rsidRPr="00B2411A">
              <w:rPr>
                <w:rStyle w:val="Hyperlink"/>
                <w:noProof/>
              </w:rPr>
              <w:t>3.2</w:t>
            </w:r>
            <w:r>
              <w:rPr>
                <w:rFonts w:asciiTheme="minorHAnsi" w:eastAsiaTheme="minorEastAsia" w:hAnsiTheme="minorHAnsi" w:cstheme="minorBidi"/>
                <w:noProof/>
                <w:kern w:val="2"/>
                <w:szCs w:val="24"/>
                <w14:ligatures w14:val="standardContextual"/>
              </w:rPr>
              <w:tab/>
            </w:r>
            <w:r w:rsidRPr="00B2411A">
              <w:rPr>
                <w:rStyle w:val="Hyperlink"/>
                <w:noProof/>
              </w:rPr>
              <w:t>Sociodemographic Characteristics of the Study Population</w:t>
            </w:r>
            <w:r>
              <w:rPr>
                <w:noProof/>
                <w:webHidden/>
              </w:rPr>
              <w:tab/>
            </w:r>
            <w:r>
              <w:rPr>
                <w:noProof/>
                <w:webHidden/>
              </w:rPr>
              <w:fldChar w:fldCharType="begin"/>
            </w:r>
            <w:r>
              <w:rPr>
                <w:noProof/>
                <w:webHidden/>
              </w:rPr>
              <w:instrText xml:space="preserve"> PAGEREF _Toc232850326 \h </w:instrText>
            </w:r>
            <w:r>
              <w:rPr>
                <w:noProof/>
                <w:webHidden/>
              </w:rPr>
            </w:r>
            <w:r>
              <w:rPr>
                <w:noProof/>
                <w:webHidden/>
              </w:rPr>
              <w:fldChar w:fldCharType="separate"/>
            </w:r>
            <w:r>
              <w:rPr>
                <w:noProof/>
                <w:webHidden/>
              </w:rPr>
              <w:t>13</w:t>
            </w:r>
            <w:r>
              <w:rPr>
                <w:noProof/>
                <w:webHidden/>
              </w:rPr>
              <w:fldChar w:fldCharType="end"/>
            </w:r>
          </w:hyperlink>
        </w:p>
        <w:p w14:paraId="220ED83D" w14:textId="2DEF0351" w:rsidR="00B3476D" w:rsidRDefault="00B3476D">
          <w:pPr>
            <w:pStyle w:val="TOC2"/>
            <w:rPr>
              <w:rFonts w:asciiTheme="minorHAnsi" w:eastAsiaTheme="minorEastAsia" w:hAnsiTheme="minorHAnsi" w:cstheme="minorBidi"/>
              <w:noProof/>
              <w:kern w:val="2"/>
              <w:szCs w:val="24"/>
              <w14:ligatures w14:val="standardContextual"/>
            </w:rPr>
          </w:pPr>
          <w:hyperlink w:anchor="_Toc232850327" w:history="1">
            <w:r w:rsidRPr="00B2411A">
              <w:rPr>
                <w:rStyle w:val="Hyperlink"/>
                <w:noProof/>
              </w:rPr>
              <w:t>3.3</w:t>
            </w:r>
            <w:r>
              <w:rPr>
                <w:rFonts w:asciiTheme="minorHAnsi" w:eastAsiaTheme="minorEastAsia" w:hAnsiTheme="minorHAnsi" w:cstheme="minorBidi"/>
                <w:noProof/>
                <w:kern w:val="2"/>
                <w:szCs w:val="24"/>
                <w14:ligatures w14:val="standardContextual"/>
              </w:rPr>
              <w:tab/>
            </w:r>
            <w:r w:rsidRPr="00B2411A">
              <w:rPr>
                <w:rStyle w:val="Hyperlink"/>
                <w:noProof/>
              </w:rPr>
              <w:t>Overall Seroprevalence of Measles IgM Antibodies</w:t>
            </w:r>
            <w:r>
              <w:rPr>
                <w:noProof/>
                <w:webHidden/>
              </w:rPr>
              <w:tab/>
            </w:r>
            <w:r>
              <w:rPr>
                <w:noProof/>
                <w:webHidden/>
              </w:rPr>
              <w:fldChar w:fldCharType="begin"/>
            </w:r>
            <w:r>
              <w:rPr>
                <w:noProof/>
                <w:webHidden/>
              </w:rPr>
              <w:instrText xml:space="preserve"> PAGEREF _Toc232850327 \h </w:instrText>
            </w:r>
            <w:r>
              <w:rPr>
                <w:noProof/>
                <w:webHidden/>
              </w:rPr>
            </w:r>
            <w:r>
              <w:rPr>
                <w:noProof/>
                <w:webHidden/>
              </w:rPr>
              <w:fldChar w:fldCharType="separate"/>
            </w:r>
            <w:r>
              <w:rPr>
                <w:noProof/>
                <w:webHidden/>
              </w:rPr>
              <w:t>14</w:t>
            </w:r>
            <w:r>
              <w:rPr>
                <w:noProof/>
                <w:webHidden/>
              </w:rPr>
              <w:fldChar w:fldCharType="end"/>
            </w:r>
          </w:hyperlink>
        </w:p>
        <w:p w14:paraId="2E8A55DB" w14:textId="6C513E19" w:rsidR="00B3476D" w:rsidRDefault="00B3476D">
          <w:pPr>
            <w:pStyle w:val="TOC2"/>
            <w:rPr>
              <w:rFonts w:asciiTheme="minorHAnsi" w:eastAsiaTheme="minorEastAsia" w:hAnsiTheme="minorHAnsi" w:cstheme="minorBidi"/>
              <w:noProof/>
              <w:kern w:val="2"/>
              <w:szCs w:val="24"/>
              <w14:ligatures w14:val="standardContextual"/>
            </w:rPr>
          </w:pPr>
          <w:hyperlink w:anchor="_Toc232850328" w:history="1">
            <w:r w:rsidRPr="00B2411A">
              <w:rPr>
                <w:rStyle w:val="Hyperlink"/>
                <w:noProof/>
              </w:rPr>
              <w:t>3.4</w:t>
            </w:r>
            <w:r>
              <w:rPr>
                <w:rFonts w:asciiTheme="minorHAnsi" w:eastAsiaTheme="minorEastAsia" w:hAnsiTheme="minorHAnsi" w:cstheme="minorBidi"/>
                <w:noProof/>
                <w:kern w:val="2"/>
                <w:szCs w:val="24"/>
                <w14:ligatures w14:val="standardContextual"/>
              </w:rPr>
              <w:tab/>
            </w:r>
            <w:r w:rsidRPr="00B2411A">
              <w:rPr>
                <w:rStyle w:val="Hyperlink"/>
                <w:noProof/>
              </w:rPr>
              <w:t>Factors Associated with Measles IgM Positivity</w:t>
            </w:r>
            <w:r>
              <w:rPr>
                <w:noProof/>
                <w:webHidden/>
              </w:rPr>
              <w:tab/>
            </w:r>
            <w:r>
              <w:rPr>
                <w:noProof/>
                <w:webHidden/>
              </w:rPr>
              <w:fldChar w:fldCharType="begin"/>
            </w:r>
            <w:r>
              <w:rPr>
                <w:noProof/>
                <w:webHidden/>
              </w:rPr>
              <w:instrText xml:space="preserve"> PAGEREF _Toc232850328 \h </w:instrText>
            </w:r>
            <w:r>
              <w:rPr>
                <w:noProof/>
                <w:webHidden/>
              </w:rPr>
            </w:r>
            <w:r>
              <w:rPr>
                <w:noProof/>
                <w:webHidden/>
              </w:rPr>
              <w:fldChar w:fldCharType="separate"/>
            </w:r>
            <w:r>
              <w:rPr>
                <w:noProof/>
                <w:webHidden/>
              </w:rPr>
              <w:t>16</w:t>
            </w:r>
            <w:r>
              <w:rPr>
                <w:noProof/>
                <w:webHidden/>
              </w:rPr>
              <w:fldChar w:fldCharType="end"/>
            </w:r>
          </w:hyperlink>
        </w:p>
        <w:p w14:paraId="0C0C8728" w14:textId="2FFDCDFB" w:rsidR="00B3476D" w:rsidRDefault="00B3476D">
          <w:pPr>
            <w:pStyle w:val="TOC2"/>
            <w:rPr>
              <w:rFonts w:asciiTheme="minorHAnsi" w:eastAsiaTheme="minorEastAsia" w:hAnsiTheme="minorHAnsi" w:cstheme="minorBidi"/>
              <w:noProof/>
              <w:kern w:val="2"/>
              <w:szCs w:val="24"/>
              <w14:ligatures w14:val="standardContextual"/>
            </w:rPr>
          </w:pPr>
          <w:hyperlink w:anchor="_Toc232850329" w:history="1">
            <w:r w:rsidRPr="00B2411A">
              <w:rPr>
                <w:rStyle w:val="Hyperlink"/>
                <w:noProof/>
              </w:rPr>
              <w:t>3.5</w:t>
            </w:r>
            <w:r>
              <w:rPr>
                <w:rFonts w:asciiTheme="minorHAnsi" w:eastAsiaTheme="minorEastAsia" w:hAnsiTheme="minorHAnsi" w:cstheme="minorBidi"/>
                <w:noProof/>
                <w:kern w:val="2"/>
                <w:szCs w:val="24"/>
                <w14:ligatures w14:val="standardContextual"/>
              </w:rPr>
              <w:tab/>
            </w:r>
            <w:r w:rsidRPr="00B2411A">
              <w:rPr>
                <w:rStyle w:val="Hyperlink"/>
                <w:noProof/>
              </w:rPr>
              <w:t>Distribution of Measles Seroprevalence by District</w:t>
            </w:r>
            <w:r>
              <w:rPr>
                <w:noProof/>
                <w:webHidden/>
              </w:rPr>
              <w:tab/>
            </w:r>
            <w:r>
              <w:rPr>
                <w:noProof/>
                <w:webHidden/>
              </w:rPr>
              <w:fldChar w:fldCharType="begin"/>
            </w:r>
            <w:r>
              <w:rPr>
                <w:noProof/>
                <w:webHidden/>
              </w:rPr>
              <w:instrText xml:space="preserve"> PAGEREF _Toc232850329 \h </w:instrText>
            </w:r>
            <w:r>
              <w:rPr>
                <w:noProof/>
                <w:webHidden/>
              </w:rPr>
            </w:r>
            <w:r>
              <w:rPr>
                <w:noProof/>
                <w:webHidden/>
              </w:rPr>
              <w:fldChar w:fldCharType="separate"/>
            </w:r>
            <w:r>
              <w:rPr>
                <w:noProof/>
                <w:webHidden/>
              </w:rPr>
              <w:t>19</w:t>
            </w:r>
            <w:r>
              <w:rPr>
                <w:noProof/>
                <w:webHidden/>
              </w:rPr>
              <w:fldChar w:fldCharType="end"/>
            </w:r>
          </w:hyperlink>
        </w:p>
        <w:p w14:paraId="57A9BFC7" w14:textId="7B52CBDB" w:rsidR="00B3476D" w:rsidRDefault="00B3476D">
          <w:pPr>
            <w:pStyle w:val="TOC2"/>
            <w:rPr>
              <w:rFonts w:asciiTheme="minorHAnsi" w:eastAsiaTheme="minorEastAsia" w:hAnsiTheme="minorHAnsi" w:cstheme="minorBidi"/>
              <w:noProof/>
              <w:kern w:val="2"/>
              <w:szCs w:val="24"/>
              <w14:ligatures w14:val="standardContextual"/>
            </w:rPr>
          </w:pPr>
          <w:hyperlink w:anchor="_Toc232850330" w:history="1">
            <w:r w:rsidRPr="00B2411A">
              <w:rPr>
                <w:rStyle w:val="Hyperlink"/>
                <w:noProof/>
              </w:rPr>
              <w:t>3.6</w:t>
            </w:r>
            <w:r>
              <w:rPr>
                <w:rFonts w:asciiTheme="minorHAnsi" w:eastAsiaTheme="minorEastAsia" w:hAnsiTheme="minorHAnsi" w:cstheme="minorBidi"/>
                <w:noProof/>
                <w:kern w:val="2"/>
                <w:szCs w:val="24"/>
                <w14:ligatures w14:val="standardContextual"/>
              </w:rPr>
              <w:tab/>
            </w:r>
            <w:r w:rsidRPr="00B2411A">
              <w:rPr>
                <w:rStyle w:val="Hyperlink"/>
                <w:noProof/>
              </w:rPr>
              <w:t>Summary of Results</w:t>
            </w:r>
            <w:r>
              <w:rPr>
                <w:noProof/>
                <w:webHidden/>
              </w:rPr>
              <w:tab/>
            </w:r>
            <w:r>
              <w:rPr>
                <w:noProof/>
                <w:webHidden/>
              </w:rPr>
              <w:fldChar w:fldCharType="begin"/>
            </w:r>
            <w:r>
              <w:rPr>
                <w:noProof/>
                <w:webHidden/>
              </w:rPr>
              <w:instrText xml:space="preserve"> PAGEREF _Toc232850330 \h </w:instrText>
            </w:r>
            <w:r>
              <w:rPr>
                <w:noProof/>
                <w:webHidden/>
              </w:rPr>
            </w:r>
            <w:r>
              <w:rPr>
                <w:noProof/>
                <w:webHidden/>
              </w:rPr>
              <w:fldChar w:fldCharType="separate"/>
            </w:r>
            <w:r>
              <w:rPr>
                <w:noProof/>
                <w:webHidden/>
              </w:rPr>
              <w:t>22</w:t>
            </w:r>
            <w:r>
              <w:rPr>
                <w:noProof/>
                <w:webHidden/>
              </w:rPr>
              <w:fldChar w:fldCharType="end"/>
            </w:r>
          </w:hyperlink>
        </w:p>
        <w:p w14:paraId="262F229E" w14:textId="3289E595" w:rsidR="00B3476D" w:rsidRDefault="00B3476D">
          <w:pPr>
            <w:pStyle w:val="TOC1"/>
            <w:rPr>
              <w:rFonts w:asciiTheme="minorHAnsi" w:eastAsiaTheme="minorEastAsia" w:hAnsiTheme="minorHAnsi" w:cstheme="minorBidi"/>
              <w:noProof/>
              <w:kern w:val="2"/>
              <w:szCs w:val="24"/>
              <w14:ligatures w14:val="standardContextual"/>
            </w:rPr>
          </w:pPr>
          <w:hyperlink w:anchor="_Toc232850331" w:history="1">
            <w:r>
              <w:rPr>
                <w:rFonts w:asciiTheme="minorHAnsi" w:eastAsiaTheme="minorEastAsia" w:hAnsiTheme="minorHAnsi" w:cstheme="minorBidi"/>
                <w:noProof/>
                <w:kern w:val="2"/>
                <w:szCs w:val="24"/>
                <w14:ligatures w14:val="standardContextual"/>
              </w:rPr>
              <w:tab/>
            </w:r>
            <w:r w:rsidRPr="00B2411A">
              <w:rPr>
                <w:rStyle w:val="Hyperlink"/>
                <w:noProof/>
              </w:rPr>
              <w:t>Chapter 4 Discussion</w:t>
            </w:r>
            <w:r>
              <w:rPr>
                <w:noProof/>
                <w:webHidden/>
              </w:rPr>
              <w:tab/>
            </w:r>
            <w:r>
              <w:rPr>
                <w:noProof/>
                <w:webHidden/>
              </w:rPr>
              <w:fldChar w:fldCharType="begin"/>
            </w:r>
            <w:r>
              <w:rPr>
                <w:noProof/>
                <w:webHidden/>
              </w:rPr>
              <w:instrText xml:space="preserve"> PAGEREF _Toc232850331 \h </w:instrText>
            </w:r>
            <w:r>
              <w:rPr>
                <w:noProof/>
                <w:webHidden/>
              </w:rPr>
            </w:r>
            <w:r>
              <w:rPr>
                <w:noProof/>
                <w:webHidden/>
              </w:rPr>
              <w:fldChar w:fldCharType="separate"/>
            </w:r>
            <w:r>
              <w:rPr>
                <w:noProof/>
                <w:webHidden/>
              </w:rPr>
              <w:t>23</w:t>
            </w:r>
            <w:r>
              <w:rPr>
                <w:noProof/>
                <w:webHidden/>
              </w:rPr>
              <w:fldChar w:fldCharType="end"/>
            </w:r>
          </w:hyperlink>
        </w:p>
        <w:p w14:paraId="794FBB65" w14:textId="06144C3F" w:rsidR="00B3476D" w:rsidRDefault="00B3476D">
          <w:pPr>
            <w:pStyle w:val="TOC2"/>
            <w:rPr>
              <w:rFonts w:asciiTheme="minorHAnsi" w:eastAsiaTheme="minorEastAsia" w:hAnsiTheme="minorHAnsi" w:cstheme="minorBidi"/>
              <w:noProof/>
              <w:kern w:val="2"/>
              <w:szCs w:val="24"/>
              <w14:ligatures w14:val="standardContextual"/>
            </w:rPr>
          </w:pPr>
          <w:hyperlink w:anchor="_Toc232850332" w:history="1">
            <w:r w:rsidRPr="00B2411A">
              <w:rPr>
                <w:rStyle w:val="Hyperlink"/>
                <w:noProof/>
              </w:rPr>
              <w:t>4.1</w:t>
            </w:r>
            <w:r>
              <w:rPr>
                <w:rFonts w:asciiTheme="minorHAnsi" w:eastAsiaTheme="minorEastAsia" w:hAnsiTheme="minorHAnsi" w:cstheme="minorBidi"/>
                <w:noProof/>
                <w:kern w:val="2"/>
                <w:szCs w:val="24"/>
                <w14:ligatures w14:val="standardContextual"/>
              </w:rPr>
              <w:tab/>
            </w:r>
            <w:r w:rsidRPr="00B2411A">
              <w:rPr>
                <w:rStyle w:val="Hyperlink"/>
                <w:noProof/>
              </w:rPr>
              <w:t>Introduction</w:t>
            </w:r>
            <w:r>
              <w:rPr>
                <w:noProof/>
                <w:webHidden/>
              </w:rPr>
              <w:tab/>
            </w:r>
            <w:r>
              <w:rPr>
                <w:noProof/>
                <w:webHidden/>
              </w:rPr>
              <w:fldChar w:fldCharType="begin"/>
            </w:r>
            <w:r>
              <w:rPr>
                <w:noProof/>
                <w:webHidden/>
              </w:rPr>
              <w:instrText xml:space="preserve"> PAGEREF _Toc232850332 \h </w:instrText>
            </w:r>
            <w:r>
              <w:rPr>
                <w:noProof/>
                <w:webHidden/>
              </w:rPr>
            </w:r>
            <w:r>
              <w:rPr>
                <w:noProof/>
                <w:webHidden/>
              </w:rPr>
              <w:fldChar w:fldCharType="separate"/>
            </w:r>
            <w:r>
              <w:rPr>
                <w:noProof/>
                <w:webHidden/>
              </w:rPr>
              <w:t>23</w:t>
            </w:r>
            <w:r>
              <w:rPr>
                <w:noProof/>
                <w:webHidden/>
              </w:rPr>
              <w:fldChar w:fldCharType="end"/>
            </w:r>
          </w:hyperlink>
        </w:p>
        <w:p w14:paraId="02D51425" w14:textId="2FC355E4" w:rsidR="00B3476D" w:rsidRDefault="00B3476D">
          <w:pPr>
            <w:pStyle w:val="TOC2"/>
            <w:rPr>
              <w:rFonts w:asciiTheme="minorHAnsi" w:eastAsiaTheme="minorEastAsia" w:hAnsiTheme="minorHAnsi" w:cstheme="minorBidi"/>
              <w:noProof/>
              <w:kern w:val="2"/>
              <w:szCs w:val="24"/>
              <w14:ligatures w14:val="standardContextual"/>
            </w:rPr>
          </w:pPr>
          <w:hyperlink w:anchor="_Toc232850333" w:history="1">
            <w:r w:rsidRPr="00B2411A">
              <w:rPr>
                <w:rStyle w:val="Hyperlink"/>
                <w:noProof/>
              </w:rPr>
              <w:t>4.2</w:t>
            </w:r>
            <w:r>
              <w:rPr>
                <w:rFonts w:asciiTheme="minorHAnsi" w:eastAsiaTheme="minorEastAsia" w:hAnsiTheme="minorHAnsi" w:cstheme="minorBidi"/>
                <w:noProof/>
                <w:kern w:val="2"/>
                <w:szCs w:val="24"/>
                <w14:ligatures w14:val="standardContextual"/>
              </w:rPr>
              <w:tab/>
            </w:r>
            <w:r w:rsidRPr="00B2411A">
              <w:rPr>
                <w:rStyle w:val="Hyperlink"/>
                <w:noProof/>
              </w:rPr>
              <w:t>Overall measles IgM positivity</w:t>
            </w:r>
            <w:r>
              <w:rPr>
                <w:noProof/>
                <w:webHidden/>
              </w:rPr>
              <w:tab/>
            </w:r>
            <w:r>
              <w:rPr>
                <w:noProof/>
                <w:webHidden/>
              </w:rPr>
              <w:fldChar w:fldCharType="begin"/>
            </w:r>
            <w:r>
              <w:rPr>
                <w:noProof/>
                <w:webHidden/>
              </w:rPr>
              <w:instrText xml:space="preserve"> PAGEREF _Toc232850333 \h </w:instrText>
            </w:r>
            <w:r>
              <w:rPr>
                <w:noProof/>
                <w:webHidden/>
              </w:rPr>
            </w:r>
            <w:r>
              <w:rPr>
                <w:noProof/>
                <w:webHidden/>
              </w:rPr>
              <w:fldChar w:fldCharType="separate"/>
            </w:r>
            <w:r>
              <w:rPr>
                <w:noProof/>
                <w:webHidden/>
              </w:rPr>
              <w:t>23</w:t>
            </w:r>
            <w:r>
              <w:rPr>
                <w:noProof/>
                <w:webHidden/>
              </w:rPr>
              <w:fldChar w:fldCharType="end"/>
            </w:r>
          </w:hyperlink>
        </w:p>
        <w:p w14:paraId="43728C0F" w14:textId="16B82562" w:rsidR="00B3476D" w:rsidRDefault="00B3476D">
          <w:pPr>
            <w:pStyle w:val="TOC2"/>
            <w:rPr>
              <w:rFonts w:asciiTheme="minorHAnsi" w:eastAsiaTheme="minorEastAsia" w:hAnsiTheme="minorHAnsi" w:cstheme="minorBidi"/>
              <w:noProof/>
              <w:kern w:val="2"/>
              <w:szCs w:val="24"/>
              <w14:ligatures w14:val="standardContextual"/>
            </w:rPr>
          </w:pPr>
          <w:hyperlink w:anchor="_Toc232850334" w:history="1">
            <w:r w:rsidRPr="00B2411A">
              <w:rPr>
                <w:rStyle w:val="Hyperlink"/>
                <w:noProof/>
              </w:rPr>
              <w:t>4.3</w:t>
            </w:r>
            <w:r>
              <w:rPr>
                <w:rFonts w:asciiTheme="minorHAnsi" w:eastAsiaTheme="minorEastAsia" w:hAnsiTheme="minorHAnsi" w:cstheme="minorBidi"/>
                <w:noProof/>
                <w:kern w:val="2"/>
                <w:szCs w:val="24"/>
                <w14:ligatures w14:val="standardContextual"/>
              </w:rPr>
              <w:tab/>
            </w:r>
            <w:r w:rsidRPr="00B2411A">
              <w:rPr>
                <w:rStyle w:val="Hyperlink"/>
                <w:noProof/>
              </w:rPr>
              <w:t>Sex differences in measles IgM positivity</w:t>
            </w:r>
            <w:r>
              <w:rPr>
                <w:noProof/>
                <w:webHidden/>
              </w:rPr>
              <w:tab/>
            </w:r>
            <w:r>
              <w:rPr>
                <w:noProof/>
                <w:webHidden/>
              </w:rPr>
              <w:fldChar w:fldCharType="begin"/>
            </w:r>
            <w:r>
              <w:rPr>
                <w:noProof/>
                <w:webHidden/>
              </w:rPr>
              <w:instrText xml:space="preserve"> PAGEREF _Toc232850334 \h </w:instrText>
            </w:r>
            <w:r>
              <w:rPr>
                <w:noProof/>
                <w:webHidden/>
              </w:rPr>
            </w:r>
            <w:r>
              <w:rPr>
                <w:noProof/>
                <w:webHidden/>
              </w:rPr>
              <w:fldChar w:fldCharType="separate"/>
            </w:r>
            <w:r>
              <w:rPr>
                <w:noProof/>
                <w:webHidden/>
              </w:rPr>
              <w:t>25</w:t>
            </w:r>
            <w:r>
              <w:rPr>
                <w:noProof/>
                <w:webHidden/>
              </w:rPr>
              <w:fldChar w:fldCharType="end"/>
            </w:r>
          </w:hyperlink>
        </w:p>
        <w:p w14:paraId="1C73F345" w14:textId="6A69CBA0" w:rsidR="00B3476D" w:rsidRDefault="00B3476D">
          <w:pPr>
            <w:pStyle w:val="TOC2"/>
            <w:rPr>
              <w:rFonts w:asciiTheme="minorHAnsi" w:eastAsiaTheme="minorEastAsia" w:hAnsiTheme="minorHAnsi" w:cstheme="minorBidi"/>
              <w:noProof/>
              <w:kern w:val="2"/>
              <w:szCs w:val="24"/>
              <w14:ligatures w14:val="standardContextual"/>
            </w:rPr>
          </w:pPr>
          <w:hyperlink w:anchor="_Toc232850335" w:history="1">
            <w:r w:rsidRPr="00B2411A">
              <w:rPr>
                <w:rStyle w:val="Hyperlink"/>
                <w:noProof/>
              </w:rPr>
              <w:t>4.4</w:t>
            </w:r>
            <w:r>
              <w:rPr>
                <w:rFonts w:asciiTheme="minorHAnsi" w:eastAsiaTheme="minorEastAsia" w:hAnsiTheme="minorHAnsi" w:cstheme="minorBidi"/>
                <w:noProof/>
                <w:kern w:val="2"/>
                <w:szCs w:val="24"/>
                <w14:ligatures w14:val="standardContextual"/>
              </w:rPr>
              <w:tab/>
            </w:r>
            <w:r w:rsidRPr="00B2411A">
              <w:rPr>
                <w:rStyle w:val="Hyperlink"/>
                <w:noProof/>
              </w:rPr>
              <w:t>Age pattern and vulnerability among infants younger than nine months</w:t>
            </w:r>
            <w:r>
              <w:rPr>
                <w:noProof/>
                <w:webHidden/>
              </w:rPr>
              <w:tab/>
            </w:r>
            <w:r>
              <w:rPr>
                <w:noProof/>
                <w:webHidden/>
              </w:rPr>
              <w:fldChar w:fldCharType="begin"/>
            </w:r>
            <w:r>
              <w:rPr>
                <w:noProof/>
                <w:webHidden/>
              </w:rPr>
              <w:instrText xml:space="preserve"> PAGEREF _Toc232850335 \h </w:instrText>
            </w:r>
            <w:r>
              <w:rPr>
                <w:noProof/>
                <w:webHidden/>
              </w:rPr>
            </w:r>
            <w:r>
              <w:rPr>
                <w:noProof/>
                <w:webHidden/>
              </w:rPr>
              <w:fldChar w:fldCharType="separate"/>
            </w:r>
            <w:r>
              <w:rPr>
                <w:noProof/>
                <w:webHidden/>
              </w:rPr>
              <w:t>26</w:t>
            </w:r>
            <w:r>
              <w:rPr>
                <w:noProof/>
                <w:webHidden/>
              </w:rPr>
              <w:fldChar w:fldCharType="end"/>
            </w:r>
          </w:hyperlink>
        </w:p>
        <w:p w14:paraId="2748640D" w14:textId="0D498E98" w:rsidR="00B3476D" w:rsidRDefault="00B3476D">
          <w:pPr>
            <w:pStyle w:val="TOC2"/>
            <w:rPr>
              <w:rFonts w:asciiTheme="minorHAnsi" w:eastAsiaTheme="minorEastAsia" w:hAnsiTheme="minorHAnsi" w:cstheme="minorBidi"/>
              <w:noProof/>
              <w:kern w:val="2"/>
              <w:szCs w:val="24"/>
              <w14:ligatures w14:val="standardContextual"/>
            </w:rPr>
          </w:pPr>
          <w:hyperlink w:anchor="_Toc232850336" w:history="1">
            <w:r w:rsidRPr="00B2411A">
              <w:rPr>
                <w:rStyle w:val="Hyperlink"/>
                <w:noProof/>
              </w:rPr>
              <w:t>4.5</w:t>
            </w:r>
            <w:r>
              <w:rPr>
                <w:rFonts w:asciiTheme="minorHAnsi" w:eastAsiaTheme="minorEastAsia" w:hAnsiTheme="minorHAnsi" w:cstheme="minorBidi"/>
                <w:noProof/>
                <w:kern w:val="2"/>
                <w:szCs w:val="24"/>
                <w14:ligatures w14:val="standardContextual"/>
              </w:rPr>
              <w:tab/>
            </w:r>
            <w:r w:rsidRPr="00B2411A">
              <w:rPr>
                <w:rStyle w:val="Hyperlink"/>
                <w:noProof/>
              </w:rPr>
              <w:t>Regional and district variation in measles positivity</w:t>
            </w:r>
            <w:r>
              <w:rPr>
                <w:noProof/>
                <w:webHidden/>
              </w:rPr>
              <w:tab/>
            </w:r>
            <w:r>
              <w:rPr>
                <w:noProof/>
                <w:webHidden/>
              </w:rPr>
              <w:fldChar w:fldCharType="begin"/>
            </w:r>
            <w:r>
              <w:rPr>
                <w:noProof/>
                <w:webHidden/>
              </w:rPr>
              <w:instrText xml:space="preserve"> PAGEREF _Toc232850336 \h </w:instrText>
            </w:r>
            <w:r>
              <w:rPr>
                <w:noProof/>
                <w:webHidden/>
              </w:rPr>
            </w:r>
            <w:r>
              <w:rPr>
                <w:noProof/>
                <w:webHidden/>
              </w:rPr>
              <w:fldChar w:fldCharType="separate"/>
            </w:r>
            <w:r>
              <w:rPr>
                <w:noProof/>
                <w:webHidden/>
              </w:rPr>
              <w:t>28</w:t>
            </w:r>
            <w:r>
              <w:rPr>
                <w:noProof/>
                <w:webHidden/>
              </w:rPr>
              <w:fldChar w:fldCharType="end"/>
            </w:r>
          </w:hyperlink>
        </w:p>
        <w:p w14:paraId="1F33133A" w14:textId="69DFCCC8" w:rsidR="00B3476D" w:rsidRDefault="00B3476D">
          <w:pPr>
            <w:pStyle w:val="TOC2"/>
            <w:rPr>
              <w:rFonts w:asciiTheme="minorHAnsi" w:eastAsiaTheme="minorEastAsia" w:hAnsiTheme="minorHAnsi" w:cstheme="minorBidi"/>
              <w:noProof/>
              <w:kern w:val="2"/>
              <w:szCs w:val="24"/>
              <w14:ligatures w14:val="standardContextual"/>
            </w:rPr>
          </w:pPr>
          <w:hyperlink w:anchor="_Toc232850337" w:history="1">
            <w:r w:rsidRPr="00B2411A">
              <w:rPr>
                <w:rStyle w:val="Hyperlink"/>
                <w:noProof/>
              </w:rPr>
              <w:t>4.6</w:t>
            </w:r>
            <w:r>
              <w:rPr>
                <w:rFonts w:asciiTheme="minorHAnsi" w:eastAsiaTheme="minorEastAsia" w:hAnsiTheme="minorHAnsi" w:cstheme="minorBidi"/>
                <w:noProof/>
                <w:kern w:val="2"/>
                <w:szCs w:val="24"/>
                <w14:ligatures w14:val="standardContextual"/>
              </w:rPr>
              <w:tab/>
            </w:r>
            <w:r w:rsidRPr="00B2411A">
              <w:rPr>
                <w:rStyle w:val="Hyperlink"/>
                <w:noProof/>
              </w:rPr>
              <w:t>Strengths and limitations</w:t>
            </w:r>
            <w:r>
              <w:rPr>
                <w:noProof/>
                <w:webHidden/>
              </w:rPr>
              <w:tab/>
            </w:r>
            <w:r>
              <w:rPr>
                <w:noProof/>
                <w:webHidden/>
              </w:rPr>
              <w:fldChar w:fldCharType="begin"/>
            </w:r>
            <w:r>
              <w:rPr>
                <w:noProof/>
                <w:webHidden/>
              </w:rPr>
              <w:instrText xml:space="preserve"> PAGEREF _Toc232850337 \h </w:instrText>
            </w:r>
            <w:r>
              <w:rPr>
                <w:noProof/>
                <w:webHidden/>
              </w:rPr>
            </w:r>
            <w:r>
              <w:rPr>
                <w:noProof/>
                <w:webHidden/>
              </w:rPr>
              <w:fldChar w:fldCharType="separate"/>
            </w:r>
            <w:r>
              <w:rPr>
                <w:noProof/>
                <w:webHidden/>
              </w:rPr>
              <w:t>30</w:t>
            </w:r>
            <w:r>
              <w:rPr>
                <w:noProof/>
                <w:webHidden/>
              </w:rPr>
              <w:fldChar w:fldCharType="end"/>
            </w:r>
          </w:hyperlink>
        </w:p>
        <w:p w14:paraId="05755D02" w14:textId="67326182" w:rsidR="00B3476D" w:rsidRDefault="00B3476D">
          <w:pPr>
            <w:pStyle w:val="TOC2"/>
            <w:rPr>
              <w:rFonts w:asciiTheme="minorHAnsi" w:eastAsiaTheme="minorEastAsia" w:hAnsiTheme="minorHAnsi" w:cstheme="minorBidi"/>
              <w:noProof/>
              <w:kern w:val="2"/>
              <w:szCs w:val="24"/>
              <w14:ligatures w14:val="standardContextual"/>
            </w:rPr>
          </w:pPr>
          <w:hyperlink w:anchor="_Toc232850338" w:history="1">
            <w:r w:rsidRPr="00B2411A">
              <w:rPr>
                <w:rStyle w:val="Hyperlink"/>
                <w:noProof/>
              </w:rPr>
              <w:t>4.7</w:t>
            </w:r>
            <w:r>
              <w:rPr>
                <w:rFonts w:asciiTheme="minorHAnsi" w:eastAsiaTheme="minorEastAsia" w:hAnsiTheme="minorHAnsi" w:cstheme="minorBidi"/>
                <w:noProof/>
                <w:kern w:val="2"/>
                <w:szCs w:val="24"/>
                <w14:ligatures w14:val="standardContextual"/>
              </w:rPr>
              <w:tab/>
            </w:r>
            <w:r w:rsidRPr="00B2411A">
              <w:rPr>
                <w:rStyle w:val="Hyperlink"/>
                <w:noProof/>
              </w:rPr>
              <w:t>Public health implications</w:t>
            </w:r>
            <w:r>
              <w:rPr>
                <w:noProof/>
                <w:webHidden/>
              </w:rPr>
              <w:tab/>
            </w:r>
            <w:r>
              <w:rPr>
                <w:noProof/>
                <w:webHidden/>
              </w:rPr>
              <w:fldChar w:fldCharType="begin"/>
            </w:r>
            <w:r>
              <w:rPr>
                <w:noProof/>
                <w:webHidden/>
              </w:rPr>
              <w:instrText xml:space="preserve"> PAGEREF _Toc232850338 \h </w:instrText>
            </w:r>
            <w:r>
              <w:rPr>
                <w:noProof/>
                <w:webHidden/>
              </w:rPr>
            </w:r>
            <w:r>
              <w:rPr>
                <w:noProof/>
                <w:webHidden/>
              </w:rPr>
              <w:fldChar w:fldCharType="separate"/>
            </w:r>
            <w:r>
              <w:rPr>
                <w:noProof/>
                <w:webHidden/>
              </w:rPr>
              <w:t>31</w:t>
            </w:r>
            <w:r>
              <w:rPr>
                <w:noProof/>
                <w:webHidden/>
              </w:rPr>
              <w:fldChar w:fldCharType="end"/>
            </w:r>
          </w:hyperlink>
        </w:p>
        <w:p w14:paraId="027DCD67" w14:textId="5CA544AB" w:rsidR="00B3476D" w:rsidRDefault="00B3476D">
          <w:pPr>
            <w:pStyle w:val="TOC2"/>
            <w:rPr>
              <w:rFonts w:asciiTheme="minorHAnsi" w:eastAsiaTheme="minorEastAsia" w:hAnsiTheme="minorHAnsi" w:cstheme="minorBidi"/>
              <w:noProof/>
              <w:kern w:val="2"/>
              <w:szCs w:val="24"/>
              <w14:ligatures w14:val="standardContextual"/>
            </w:rPr>
          </w:pPr>
          <w:hyperlink w:anchor="_Toc232850339" w:history="1">
            <w:r w:rsidRPr="00B2411A">
              <w:rPr>
                <w:rStyle w:val="Hyperlink"/>
                <w:noProof/>
              </w:rPr>
              <w:t>4.8</w:t>
            </w:r>
            <w:r>
              <w:rPr>
                <w:rFonts w:asciiTheme="minorHAnsi" w:eastAsiaTheme="minorEastAsia" w:hAnsiTheme="minorHAnsi" w:cstheme="minorBidi"/>
                <w:noProof/>
                <w:kern w:val="2"/>
                <w:szCs w:val="24"/>
                <w14:ligatures w14:val="standardContextual"/>
              </w:rPr>
              <w:tab/>
            </w:r>
            <w:r w:rsidRPr="00B2411A">
              <w:rPr>
                <w:rStyle w:val="Hyperlink"/>
                <w:noProof/>
              </w:rPr>
              <w:t>Summary of discussion</w:t>
            </w:r>
            <w:r>
              <w:rPr>
                <w:noProof/>
                <w:webHidden/>
              </w:rPr>
              <w:tab/>
            </w:r>
            <w:r>
              <w:rPr>
                <w:noProof/>
                <w:webHidden/>
              </w:rPr>
              <w:fldChar w:fldCharType="begin"/>
            </w:r>
            <w:r>
              <w:rPr>
                <w:noProof/>
                <w:webHidden/>
              </w:rPr>
              <w:instrText xml:space="preserve"> PAGEREF _Toc232850339 \h </w:instrText>
            </w:r>
            <w:r>
              <w:rPr>
                <w:noProof/>
                <w:webHidden/>
              </w:rPr>
            </w:r>
            <w:r>
              <w:rPr>
                <w:noProof/>
                <w:webHidden/>
              </w:rPr>
              <w:fldChar w:fldCharType="separate"/>
            </w:r>
            <w:r>
              <w:rPr>
                <w:noProof/>
                <w:webHidden/>
              </w:rPr>
              <w:t>31</w:t>
            </w:r>
            <w:r>
              <w:rPr>
                <w:noProof/>
                <w:webHidden/>
              </w:rPr>
              <w:fldChar w:fldCharType="end"/>
            </w:r>
          </w:hyperlink>
        </w:p>
        <w:p w14:paraId="2F3D9A52" w14:textId="2F849516" w:rsidR="00B3476D" w:rsidRDefault="00B3476D">
          <w:pPr>
            <w:pStyle w:val="TOC1"/>
            <w:rPr>
              <w:rFonts w:asciiTheme="minorHAnsi" w:eastAsiaTheme="minorEastAsia" w:hAnsiTheme="minorHAnsi" w:cstheme="minorBidi"/>
              <w:noProof/>
              <w:kern w:val="2"/>
              <w:szCs w:val="24"/>
              <w14:ligatures w14:val="standardContextual"/>
            </w:rPr>
          </w:pPr>
          <w:hyperlink w:anchor="_Toc232850340" w:history="1">
            <w:r>
              <w:rPr>
                <w:rFonts w:asciiTheme="minorHAnsi" w:eastAsiaTheme="minorEastAsia" w:hAnsiTheme="minorHAnsi" w:cstheme="minorBidi"/>
                <w:noProof/>
                <w:kern w:val="2"/>
                <w:szCs w:val="24"/>
                <w14:ligatures w14:val="standardContextual"/>
              </w:rPr>
              <w:tab/>
            </w:r>
            <w:r w:rsidRPr="00B2411A">
              <w:rPr>
                <w:rStyle w:val="Hyperlink"/>
                <w:noProof/>
              </w:rPr>
              <w:t>Chapter 5 Conclusions and Recommendations</w:t>
            </w:r>
            <w:r>
              <w:rPr>
                <w:noProof/>
                <w:webHidden/>
              </w:rPr>
              <w:tab/>
            </w:r>
            <w:r>
              <w:rPr>
                <w:noProof/>
                <w:webHidden/>
              </w:rPr>
              <w:fldChar w:fldCharType="begin"/>
            </w:r>
            <w:r>
              <w:rPr>
                <w:noProof/>
                <w:webHidden/>
              </w:rPr>
              <w:instrText xml:space="preserve"> PAGEREF _Toc232850340 \h </w:instrText>
            </w:r>
            <w:r>
              <w:rPr>
                <w:noProof/>
                <w:webHidden/>
              </w:rPr>
            </w:r>
            <w:r>
              <w:rPr>
                <w:noProof/>
                <w:webHidden/>
              </w:rPr>
              <w:fldChar w:fldCharType="separate"/>
            </w:r>
            <w:r>
              <w:rPr>
                <w:noProof/>
                <w:webHidden/>
              </w:rPr>
              <w:t>33</w:t>
            </w:r>
            <w:r>
              <w:rPr>
                <w:noProof/>
                <w:webHidden/>
              </w:rPr>
              <w:fldChar w:fldCharType="end"/>
            </w:r>
          </w:hyperlink>
        </w:p>
        <w:p w14:paraId="69561494" w14:textId="2FB3C14C" w:rsidR="00B3476D" w:rsidRDefault="00B3476D">
          <w:pPr>
            <w:pStyle w:val="TOC2"/>
            <w:rPr>
              <w:rFonts w:asciiTheme="minorHAnsi" w:eastAsiaTheme="minorEastAsia" w:hAnsiTheme="minorHAnsi" w:cstheme="minorBidi"/>
              <w:noProof/>
              <w:kern w:val="2"/>
              <w:szCs w:val="24"/>
              <w14:ligatures w14:val="standardContextual"/>
            </w:rPr>
          </w:pPr>
          <w:hyperlink w:anchor="_Toc232850341" w:history="1">
            <w:r w:rsidRPr="00B2411A">
              <w:rPr>
                <w:rStyle w:val="Hyperlink"/>
                <w:noProof/>
              </w:rPr>
              <w:t>5.1</w:t>
            </w:r>
            <w:r>
              <w:rPr>
                <w:rFonts w:asciiTheme="minorHAnsi" w:eastAsiaTheme="minorEastAsia" w:hAnsiTheme="minorHAnsi" w:cstheme="minorBidi"/>
                <w:noProof/>
                <w:kern w:val="2"/>
                <w:szCs w:val="24"/>
                <w14:ligatures w14:val="standardContextual"/>
              </w:rPr>
              <w:tab/>
            </w:r>
            <w:r w:rsidRPr="00B2411A">
              <w:rPr>
                <w:rStyle w:val="Hyperlink"/>
                <w:noProof/>
              </w:rPr>
              <w:t>Conclusion</w:t>
            </w:r>
            <w:r>
              <w:rPr>
                <w:noProof/>
                <w:webHidden/>
              </w:rPr>
              <w:tab/>
            </w:r>
            <w:r>
              <w:rPr>
                <w:noProof/>
                <w:webHidden/>
              </w:rPr>
              <w:fldChar w:fldCharType="begin"/>
            </w:r>
            <w:r>
              <w:rPr>
                <w:noProof/>
                <w:webHidden/>
              </w:rPr>
              <w:instrText xml:space="preserve"> PAGEREF _Toc232850341 \h </w:instrText>
            </w:r>
            <w:r>
              <w:rPr>
                <w:noProof/>
                <w:webHidden/>
              </w:rPr>
            </w:r>
            <w:r>
              <w:rPr>
                <w:noProof/>
                <w:webHidden/>
              </w:rPr>
              <w:fldChar w:fldCharType="separate"/>
            </w:r>
            <w:r>
              <w:rPr>
                <w:noProof/>
                <w:webHidden/>
              </w:rPr>
              <w:t>33</w:t>
            </w:r>
            <w:r>
              <w:rPr>
                <w:noProof/>
                <w:webHidden/>
              </w:rPr>
              <w:fldChar w:fldCharType="end"/>
            </w:r>
          </w:hyperlink>
        </w:p>
        <w:p w14:paraId="26606BFA" w14:textId="318622E3" w:rsidR="00B3476D" w:rsidRDefault="00B3476D">
          <w:pPr>
            <w:pStyle w:val="TOC2"/>
            <w:rPr>
              <w:rFonts w:asciiTheme="minorHAnsi" w:eastAsiaTheme="minorEastAsia" w:hAnsiTheme="minorHAnsi" w:cstheme="minorBidi"/>
              <w:noProof/>
              <w:kern w:val="2"/>
              <w:szCs w:val="24"/>
              <w14:ligatures w14:val="standardContextual"/>
            </w:rPr>
          </w:pPr>
          <w:hyperlink w:anchor="_Toc232850342" w:history="1">
            <w:r w:rsidRPr="00B2411A">
              <w:rPr>
                <w:rStyle w:val="Hyperlink"/>
                <w:noProof/>
              </w:rPr>
              <w:t>5.2</w:t>
            </w:r>
            <w:r>
              <w:rPr>
                <w:rFonts w:asciiTheme="minorHAnsi" w:eastAsiaTheme="minorEastAsia" w:hAnsiTheme="minorHAnsi" w:cstheme="minorBidi"/>
                <w:noProof/>
                <w:kern w:val="2"/>
                <w:szCs w:val="24"/>
                <w14:ligatures w14:val="standardContextual"/>
              </w:rPr>
              <w:tab/>
            </w:r>
            <w:r w:rsidRPr="00B2411A">
              <w:rPr>
                <w:rStyle w:val="Hyperlink"/>
                <w:noProof/>
              </w:rPr>
              <w:t>Recommendations</w:t>
            </w:r>
            <w:r>
              <w:rPr>
                <w:noProof/>
                <w:webHidden/>
              </w:rPr>
              <w:tab/>
            </w:r>
            <w:r>
              <w:rPr>
                <w:noProof/>
                <w:webHidden/>
              </w:rPr>
              <w:fldChar w:fldCharType="begin"/>
            </w:r>
            <w:r>
              <w:rPr>
                <w:noProof/>
                <w:webHidden/>
              </w:rPr>
              <w:instrText xml:space="preserve"> PAGEREF _Toc232850342 \h </w:instrText>
            </w:r>
            <w:r>
              <w:rPr>
                <w:noProof/>
                <w:webHidden/>
              </w:rPr>
            </w:r>
            <w:r>
              <w:rPr>
                <w:noProof/>
                <w:webHidden/>
              </w:rPr>
              <w:fldChar w:fldCharType="separate"/>
            </w:r>
            <w:r>
              <w:rPr>
                <w:noProof/>
                <w:webHidden/>
              </w:rPr>
              <w:t>33</w:t>
            </w:r>
            <w:r>
              <w:rPr>
                <w:noProof/>
                <w:webHidden/>
              </w:rPr>
              <w:fldChar w:fldCharType="end"/>
            </w:r>
          </w:hyperlink>
        </w:p>
        <w:p w14:paraId="5C1B131C" w14:textId="342B004A" w:rsidR="00B3476D" w:rsidRDefault="00B3476D">
          <w:pPr>
            <w:pStyle w:val="TOC2"/>
            <w:rPr>
              <w:rFonts w:asciiTheme="minorHAnsi" w:eastAsiaTheme="minorEastAsia" w:hAnsiTheme="minorHAnsi" w:cstheme="minorBidi"/>
              <w:noProof/>
              <w:kern w:val="2"/>
              <w:szCs w:val="24"/>
              <w14:ligatures w14:val="standardContextual"/>
            </w:rPr>
          </w:pPr>
          <w:hyperlink w:anchor="_Toc232850343" w:history="1">
            <w:r w:rsidRPr="00B2411A">
              <w:rPr>
                <w:rStyle w:val="Hyperlink"/>
                <w:noProof/>
              </w:rPr>
              <w:t>5.3</w:t>
            </w:r>
            <w:r>
              <w:rPr>
                <w:rFonts w:asciiTheme="minorHAnsi" w:eastAsiaTheme="minorEastAsia" w:hAnsiTheme="minorHAnsi" w:cstheme="minorBidi"/>
                <w:noProof/>
                <w:kern w:val="2"/>
                <w:szCs w:val="24"/>
                <w14:ligatures w14:val="standardContextual"/>
              </w:rPr>
              <w:tab/>
            </w:r>
            <w:r w:rsidRPr="00B2411A">
              <w:rPr>
                <w:rStyle w:val="Hyperlink"/>
                <w:noProof/>
              </w:rPr>
              <w:t>Summary</w:t>
            </w:r>
            <w:r>
              <w:rPr>
                <w:noProof/>
                <w:webHidden/>
              </w:rPr>
              <w:tab/>
            </w:r>
            <w:r>
              <w:rPr>
                <w:noProof/>
                <w:webHidden/>
              </w:rPr>
              <w:fldChar w:fldCharType="begin"/>
            </w:r>
            <w:r>
              <w:rPr>
                <w:noProof/>
                <w:webHidden/>
              </w:rPr>
              <w:instrText xml:space="preserve"> PAGEREF _Toc232850343 \h </w:instrText>
            </w:r>
            <w:r>
              <w:rPr>
                <w:noProof/>
                <w:webHidden/>
              </w:rPr>
            </w:r>
            <w:r>
              <w:rPr>
                <w:noProof/>
                <w:webHidden/>
              </w:rPr>
              <w:fldChar w:fldCharType="separate"/>
            </w:r>
            <w:r>
              <w:rPr>
                <w:noProof/>
                <w:webHidden/>
              </w:rPr>
              <w:t>35</w:t>
            </w:r>
            <w:r>
              <w:rPr>
                <w:noProof/>
                <w:webHidden/>
              </w:rPr>
              <w:fldChar w:fldCharType="end"/>
            </w:r>
          </w:hyperlink>
        </w:p>
        <w:p w14:paraId="15B90958" w14:textId="3401A01C" w:rsidR="00B3476D" w:rsidRDefault="00B3476D">
          <w:pPr>
            <w:pStyle w:val="TOC1"/>
            <w:rPr>
              <w:rFonts w:asciiTheme="minorHAnsi" w:eastAsiaTheme="minorEastAsia" w:hAnsiTheme="minorHAnsi" w:cstheme="minorBidi"/>
              <w:noProof/>
              <w:kern w:val="2"/>
              <w:szCs w:val="24"/>
              <w14:ligatures w14:val="standardContextual"/>
            </w:rPr>
          </w:pPr>
          <w:hyperlink w:anchor="_Toc232850344" w:history="1">
            <w:r>
              <w:rPr>
                <w:rFonts w:asciiTheme="minorHAnsi" w:eastAsiaTheme="minorEastAsia" w:hAnsiTheme="minorHAnsi" w:cstheme="minorBidi"/>
                <w:noProof/>
                <w:kern w:val="2"/>
                <w:szCs w:val="24"/>
                <w14:ligatures w14:val="standardContextual"/>
              </w:rPr>
              <w:tab/>
            </w:r>
            <w:r w:rsidRPr="00B2411A">
              <w:rPr>
                <w:rStyle w:val="Hyperlink"/>
                <w:noProof/>
              </w:rPr>
              <w:t>References</w:t>
            </w:r>
            <w:r>
              <w:rPr>
                <w:noProof/>
                <w:webHidden/>
              </w:rPr>
              <w:tab/>
            </w:r>
            <w:r>
              <w:rPr>
                <w:noProof/>
                <w:webHidden/>
              </w:rPr>
              <w:fldChar w:fldCharType="begin"/>
            </w:r>
            <w:r>
              <w:rPr>
                <w:noProof/>
                <w:webHidden/>
              </w:rPr>
              <w:instrText xml:space="preserve"> PAGEREF _Toc232850344 \h </w:instrText>
            </w:r>
            <w:r>
              <w:rPr>
                <w:noProof/>
                <w:webHidden/>
              </w:rPr>
            </w:r>
            <w:r>
              <w:rPr>
                <w:noProof/>
                <w:webHidden/>
              </w:rPr>
              <w:fldChar w:fldCharType="separate"/>
            </w:r>
            <w:r>
              <w:rPr>
                <w:noProof/>
                <w:webHidden/>
              </w:rPr>
              <w:t>36</w:t>
            </w:r>
            <w:r>
              <w:rPr>
                <w:noProof/>
                <w:webHidden/>
              </w:rPr>
              <w:fldChar w:fldCharType="end"/>
            </w:r>
          </w:hyperlink>
        </w:p>
        <w:p w14:paraId="76A82538" w14:textId="5DF4DD36" w:rsidR="00B3476D" w:rsidRDefault="00B3476D">
          <w:pPr>
            <w:pStyle w:val="TOC1"/>
            <w:rPr>
              <w:rFonts w:asciiTheme="minorHAnsi" w:eastAsiaTheme="minorEastAsia" w:hAnsiTheme="minorHAnsi" w:cstheme="minorBidi"/>
              <w:noProof/>
              <w:kern w:val="2"/>
              <w:szCs w:val="24"/>
              <w14:ligatures w14:val="standardContextual"/>
            </w:rPr>
          </w:pPr>
          <w:hyperlink w:anchor="_Toc232850345" w:history="1">
            <w:r>
              <w:rPr>
                <w:rFonts w:asciiTheme="minorHAnsi" w:eastAsiaTheme="minorEastAsia" w:hAnsiTheme="minorHAnsi" w:cstheme="minorBidi"/>
                <w:noProof/>
                <w:kern w:val="2"/>
                <w:szCs w:val="24"/>
                <w14:ligatures w14:val="standardContextual"/>
              </w:rPr>
              <w:tab/>
            </w:r>
            <w:r w:rsidRPr="00B2411A">
              <w:rPr>
                <w:rStyle w:val="Hyperlink"/>
                <w:noProof/>
              </w:rPr>
              <w:t>Appendices</w:t>
            </w:r>
            <w:r>
              <w:rPr>
                <w:noProof/>
                <w:webHidden/>
              </w:rPr>
              <w:tab/>
            </w:r>
            <w:r>
              <w:rPr>
                <w:noProof/>
                <w:webHidden/>
              </w:rPr>
              <w:fldChar w:fldCharType="begin"/>
            </w:r>
            <w:r>
              <w:rPr>
                <w:noProof/>
                <w:webHidden/>
              </w:rPr>
              <w:instrText xml:space="preserve"> PAGEREF _Toc232850345 \h </w:instrText>
            </w:r>
            <w:r>
              <w:rPr>
                <w:noProof/>
                <w:webHidden/>
              </w:rPr>
            </w:r>
            <w:r>
              <w:rPr>
                <w:noProof/>
                <w:webHidden/>
              </w:rPr>
              <w:fldChar w:fldCharType="separate"/>
            </w:r>
            <w:r>
              <w:rPr>
                <w:noProof/>
                <w:webHidden/>
              </w:rPr>
              <w:t>39</w:t>
            </w:r>
            <w:r>
              <w:rPr>
                <w:noProof/>
                <w:webHidden/>
              </w:rPr>
              <w:fldChar w:fldCharType="end"/>
            </w:r>
          </w:hyperlink>
        </w:p>
        <w:p w14:paraId="2BA8D4A6" w14:textId="007C830E" w:rsidR="00B3476D" w:rsidRDefault="00B3476D">
          <w:pPr>
            <w:pStyle w:val="TOC2"/>
            <w:rPr>
              <w:rFonts w:asciiTheme="minorHAnsi" w:eastAsiaTheme="minorEastAsia" w:hAnsiTheme="minorHAnsi" w:cstheme="minorBidi"/>
              <w:noProof/>
              <w:kern w:val="2"/>
              <w:szCs w:val="24"/>
              <w14:ligatures w14:val="standardContextual"/>
            </w:rPr>
          </w:pPr>
          <w:hyperlink w:anchor="_Toc232850346" w:history="1">
            <w:r w:rsidRPr="00B2411A">
              <w:rPr>
                <w:rStyle w:val="Hyperlink"/>
                <w:noProof/>
              </w:rPr>
              <w:t>7.1</w:t>
            </w:r>
            <w:r>
              <w:rPr>
                <w:rFonts w:asciiTheme="minorHAnsi" w:eastAsiaTheme="minorEastAsia" w:hAnsiTheme="minorHAnsi" w:cstheme="minorBidi"/>
                <w:noProof/>
                <w:kern w:val="2"/>
                <w:szCs w:val="24"/>
                <w14:ligatures w14:val="standardContextual"/>
              </w:rPr>
              <w:tab/>
            </w:r>
            <w:r w:rsidRPr="00B2411A">
              <w:rPr>
                <w:rStyle w:val="Hyperlink"/>
                <w:noProof/>
              </w:rPr>
              <w:t>Data extraction form</w:t>
            </w:r>
            <w:r>
              <w:rPr>
                <w:noProof/>
                <w:webHidden/>
              </w:rPr>
              <w:tab/>
            </w:r>
            <w:r>
              <w:rPr>
                <w:noProof/>
                <w:webHidden/>
              </w:rPr>
              <w:fldChar w:fldCharType="begin"/>
            </w:r>
            <w:r>
              <w:rPr>
                <w:noProof/>
                <w:webHidden/>
              </w:rPr>
              <w:instrText xml:space="preserve"> PAGEREF _Toc232850346 \h </w:instrText>
            </w:r>
            <w:r>
              <w:rPr>
                <w:noProof/>
                <w:webHidden/>
              </w:rPr>
            </w:r>
            <w:r>
              <w:rPr>
                <w:noProof/>
                <w:webHidden/>
              </w:rPr>
              <w:fldChar w:fldCharType="separate"/>
            </w:r>
            <w:r>
              <w:rPr>
                <w:noProof/>
                <w:webHidden/>
              </w:rPr>
              <w:t>39</w:t>
            </w:r>
            <w:r>
              <w:rPr>
                <w:noProof/>
                <w:webHidden/>
              </w:rPr>
              <w:fldChar w:fldCharType="end"/>
            </w:r>
          </w:hyperlink>
        </w:p>
        <w:p w14:paraId="06F2AF29" w14:textId="2C47685E" w:rsidR="00B3476D" w:rsidRDefault="00B3476D">
          <w:pPr>
            <w:pStyle w:val="TOC2"/>
            <w:rPr>
              <w:rFonts w:asciiTheme="minorHAnsi" w:eastAsiaTheme="minorEastAsia" w:hAnsiTheme="minorHAnsi" w:cstheme="minorBidi"/>
              <w:noProof/>
              <w:kern w:val="2"/>
              <w:szCs w:val="24"/>
              <w14:ligatures w14:val="standardContextual"/>
            </w:rPr>
          </w:pPr>
          <w:hyperlink w:anchor="_Toc232850347" w:history="1">
            <w:r w:rsidRPr="00B2411A">
              <w:rPr>
                <w:rStyle w:val="Hyperlink"/>
                <w:noProof/>
              </w:rPr>
              <w:t>7.2</w:t>
            </w:r>
            <w:r>
              <w:rPr>
                <w:rFonts w:asciiTheme="minorHAnsi" w:eastAsiaTheme="minorEastAsia" w:hAnsiTheme="minorHAnsi" w:cstheme="minorBidi"/>
                <w:noProof/>
                <w:kern w:val="2"/>
                <w:szCs w:val="24"/>
                <w14:ligatures w14:val="standardContextual"/>
              </w:rPr>
              <w:tab/>
            </w:r>
            <w:r w:rsidRPr="00B2411A">
              <w:rPr>
                <w:rStyle w:val="Hyperlink"/>
                <w:noProof/>
              </w:rPr>
              <w:t>Ethical approval</w:t>
            </w:r>
            <w:r>
              <w:rPr>
                <w:noProof/>
                <w:webHidden/>
              </w:rPr>
              <w:tab/>
            </w:r>
            <w:r>
              <w:rPr>
                <w:noProof/>
                <w:webHidden/>
              </w:rPr>
              <w:fldChar w:fldCharType="begin"/>
            </w:r>
            <w:r>
              <w:rPr>
                <w:noProof/>
                <w:webHidden/>
              </w:rPr>
              <w:instrText xml:space="preserve"> PAGEREF _Toc232850347 \h </w:instrText>
            </w:r>
            <w:r>
              <w:rPr>
                <w:noProof/>
                <w:webHidden/>
              </w:rPr>
            </w:r>
            <w:r>
              <w:rPr>
                <w:noProof/>
                <w:webHidden/>
              </w:rPr>
              <w:fldChar w:fldCharType="separate"/>
            </w:r>
            <w:r>
              <w:rPr>
                <w:noProof/>
                <w:webHidden/>
              </w:rPr>
              <w:t>39</w:t>
            </w:r>
            <w:r>
              <w:rPr>
                <w:noProof/>
                <w:webHidden/>
              </w:rPr>
              <w:fldChar w:fldCharType="end"/>
            </w:r>
          </w:hyperlink>
        </w:p>
        <w:p w14:paraId="3DE61AED" w14:textId="27367CFB" w:rsidR="00985840" w:rsidRDefault="00985840">
          <w:r>
            <w:rPr>
              <w:b/>
              <w:bCs/>
              <w:noProof/>
            </w:rPr>
            <w:fldChar w:fldCharType="end"/>
          </w:r>
        </w:p>
      </w:sdtContent>
    </w:sdt>
    <w:p w14:paraId="78643585" w14:textId="7466AB46" w:rsidR="00985840" w:rsidRDefault="00985840" w:rsidP="006055D0">
      <w:pPr>
        <w:spacing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21C585EE" w14:textId="77777777" w:rsidR="006055D0" w:rsidRDefault="006055D0" w:rsidP="006055D0">
      <w:pPr>
        <w:spacing w:line="240" w:lineRule="auto"/>
        <w:rPr>
          <w:rFonts w:ascii="Times New Roman" w:eastAsia="Times New Roman" w:hAnsi="Times New Roman" w:cs="Times New Roman"/>
          <w:sz w:val="24"/>
        </w:rPr>
      </w:pPr>
    </w:p>
    <w:p w14:paraId="751B0FFC" w14:textId="77777777" w:rsidR="00254505" w:rsidRDefault="00254505" w:rsidP="006055D0">
      <w:pPr>
        <w:spacing w:line="240" w:lineRule="auto"/>
        <w:rPr>
          <w:rFonts w:ascii="Times New Roman" w:eastAsia="Times New Roman" w:hAnsi="Times New Roman" w:cs="Times New Roman"/>
          <w:sz w:val="24"/>
        </w:rPr>
      </w:pPr>
    </w:p>
    <w:p w14:paraId="4E166738" w14:textId="77777777" w:rsidR="00254505" w:rsidRDefault="00254505" w:rsidP="006055D0">
      <w:pPr>
        <w:spacing w:line="240" w:lineRule="auto"/>
        <w:rPr>
          <w:rFonts w:ascii="Times New Roman" w:eastAsia="Times New Roman" w:hAnsi="Times New Roman" w:cs="Times New Roman"/>
          <w:sz w:val="24"/>
        </w:rPr>
      </w:pPr>
    </w:p>
    <w:p w14:paraId="203D535B" w14:textId="3B70043E" w:rsidR="006055D0" w:rsidRDefault="00C1319C" w:rsidP="00985840">
      <w:pPr>
        <w:pStyle w:val="Heading1"/>
        <w:numPr>
          <w:ilvl w:val="0"/>
          <w:numId w:val="0"/>
        </w:numPr>
        <w:ind w:left="432"/>
        <w:rPr>
          <w:spacing w:val="-2"/>
        </w:rPr>
      </w:pPr>
      <w:bookmarkStart w:id="12" w:name="_TOC_250000"/>
      <w:bookmarkStart w:id="13" w:name="_Toc232844520"/>
      <w:bookmarkStart w:id="14" w:name="_Toc232850304"/>
      <w:r w:rsidRPr="0038502B">
        <w:t>List of</w:t>
      </w:r>
      <w:r w:rsidR="006055D0" w:rsidRPr="0038502B">
        <w:rPr>
          <w:spacing w:val="-3"/>
        </w:rPr>
        <w:t xml:space="preserve"> </w:t>
      </w:r>
      <w:bookmarkEnd w:id="12"/>
      <w:r w:rsidRPr="0038502B">
        <w:rPr>
          <w:spacing w:val="-2"/>
        </w:rPr>
        <w:t>Tables</w:t>
      </w:r>
      <w:bookmarkEnd w:id="13"/>
      <w:bookmarkEnd w:id="14"/>
    </w:p>
    <w:p w14:paraId="02CB476C" w14:textId="14371F11" w:rsidR="00254505" w:rsidRDefault="00254505">
      <w:pPr>
        <w:pStyle w:val="TableofFigures"/>
        <w:tabs>
          <w:tab w:val="right" w:leader="dot" w:pos="9350"/>
        </w:tabs>
        <w:rPr>
          <w:rFonts w:asciiTheme="minorHAnsi" w:eastAsiaTheme="minorEastAsia" w:hAnsiTheme="minorHAnsi" w:cstheme="minorBidi"/>
          <w:noProof/>
          <w:kern w:val="2"/>
          <w:szCs w:val="24"/>
          <w14:ligatures w14:val="standardContextual"/>
        </w:rPr>
      </w:pPr>
      <w:r>
        <w:fldChar w:fldCharType="begin"/>
      </w:r>
      <w:r>
        <w:instrText xml:space="preserve"> TOC \h \z \c "Table" </w:instrText>
      </w:r>
      <w:r>
        <w:fldChar w:fldCharType="separate"/>
      </w:r>
      <w:hyperlink w:anchor="_Toc232849022" w:history="1">
        <w:r w:rsidRPr="006D5E0E">
          <w:rPr>
            <w:rStyle w:val="Hyperlink"/>
            <w:noProof/>
          </w:rPr>
          <w:t>Table 1: Sociodemographic Characteristics of Suspected Measles Cases, Malawi, April 2023–December 2024</w:t>
        </w:r>
        <w:r>
          <w:rPr>
            <w:noProof/>
            <w:webHidden/>
          </w:rPr>
          <w:tab/>
        </w:r>
        <w:r>
          <w:rPr>
            <w:noProof/>
            <w:webHidden/>
          </w:rPr>
          <w:fldChar w:fldCharType="begin"/>
        </w:r>
        <w:r>
          <w:rPr>
            <w:noProof/>
            <w:webHidden/>
          </w:rPr>
          <w:instrText xml:space="preserve"> PAGEREF _Toc232849022 \h </w:instrText>
        </w:r>
        <w:r>
          <w:rPr>
            <w:noProof/>
            <w:webHidden/>
          </w:rPr>
        </w:r>
        <w:r>
          <w:rPr>
            <w:noProof/>
            <w:webHidden/>
          </w:rPr>
          <w:fldChar w:fldCharType="separate"/>
        </w:r>
        <w:r>
          <w:rPr>
            <w:noProof/>
            <w:webHidden/>
          </w:rPr>
          <w:t>85</w:t>
        </w:r>
        <w:r>
          <w:rPr>
            <w:noProof/>
            <w:webHidden/>
          </w:rPr>
          <w:fldChar w:fldCharType="end"/>
        </w:r>
      </w:hyperlink>
    </w:p>
    <w:p w14:paraId="4B7FA8C4" w14:textId="69502301" w:rsidR="00254505" w:rsidRDefault="00254505">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232849023" w:history="1">
        <w:r w:rsidRPr="006D5E0E">
          <w:rPr>
            <w:rStyle w:val="Hyperlink"/>
            <w:noProof/>
          </w:rPr>
          <w:t>Table 2: Bivariate Analysis of Factors Associated with Measles IgM Positivity, Malawi, April 2023–December 2024</w:t>
        </w:r>
        <w:r>
          <w:rPr>
            <w:noProof/>
            <w:webHidden/>
          </w:rPr>
          <w:tab/>
        </w:r>
        <w:r>
          <w:rPr>
            <w:noProof/>
            <w:webHidden/>
          </w:rPr>
          <w:fldChar w:fldCharType="begin"/>
        </w:r>
        <w:r>
          <w:rPr>
            <w:noProof/>
            <w:webHidden/>
          </w:rPr>
          <w:instrText xml:space="preserve"> PAGEREF _Toc232849023 \h </w:instrText>
        </w:r>
        <w:r>
          <w:rPr>
            <w:noProof/>
            <w:webHidden/>
          </w:rPr>
        </w:r>
        <w:r>
          <w:rPr>
            <w:noProof/>
            <w:webHidden/>
          </w:rPr>
          <w:fldChar w:fldCharType="separate"/>
        </w:r>
        <w:r>
          <w:rPr>
            <w:noProof/>
            <w:webHidden/>
          </w:rPr>
          <w:t>89</w:t>
        </w:r>
        <w:r>
          <w:rPr>
            <w:noProof/>
            <w:webHidden/>
          </w:rPr>
          <w:fldChar w:fldCharType="end"/>
        </w:r>
      </w:hyperlink>
    </w:p>
    <w:p w14:paraId="7B7A3953" w14:textId="576CEB13" w:rsidR="00254505" w:rsidRDefault="00254505">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232849024" w:history="1">
        <w:r w:rsidRPr="006D5E0E">
          <w:rPr>
            <w:rStyle w:val="Hyperlink"/>
            <w:noProof/>
          </w:rPr>
          <w:t>Table 3: Multivariate Logistic Regression of Factors Associated with Measles IgM Positivity, Malawi, April 2023–December 2024 (N = 1,191)</w:t>
        </w:r>
        <w:r>
          <w:rPr>
            <w:noProof/>
            <w:webHidden/>
          </w:rPr>
          <w:tab/>
        </w:r>
        <w:r>
          <w:rPr>
            <w:noProof/>
            <w:webHidden/>
          </w:rPr>
          <w:fldChar w:fldCharType="begin"/>
        </w:r>
        <w:r>
          <w:rPr>
            <w:noProof/>
            <w:webHidden/>
          </w:rPr>
          <w:instrText xml:space="preserve"> PAGEREF _Toc232849024 \h </w:instrText>
        </w:r>
        <w:r>
          <w:rPr>
            <w:noProof/>
            <w:webHidden/>
          </w:rPr>
        </w:r>
        <w:r>
          <w:rPr>
            <w:noProof/>
            <w:webHidden/>
          </w:rPr>
          <w:fldChar w:fldCharType="separate"/>
        </w:r>
        <w:r>
          <w:rPr>
            <w:noProof/>
            <w:webHidden/>
          </w:rPr>
          <w:t>90</w:t>
        </w:r>
        <w:r>
          <w:rPr>
            <w:noProof/>
            <w:webHidden/>
          </w:rPr>
          <w:fldChar w:fldCharType="end"/>
        </w:r>
      </w:hyperlink>
    </w:p>
    <w:p w14:paraId="1AF618FE" w14:textId="2780355F" w:rsidR="00254505" w:rsidRDefault="00254505">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232849025" w:history="1">
        <w:r w:rsidRPr="006D5E0E">
          <w:rPr>
            <w:rStyle w:val="Hyperlink"/>
            <w:noProof/>
          </w:rPr>
          <w:t>Table 4: Measles IgM Seroprevalence by District, Malawi, April 2023–December 2024, Grouped by Region</w:t>
        </w:r>
        <w:r>
          <w:rPr>
            <w:noProof/>
            <w:webHidden/>
          </w:rPr>
          <w:tab/>
        </w:r>
        <w:r>
          <w:rPr>
            <w:noProof/>
            <w:webHidden/>
          </w:rPr>
          <w:fldChar w:fldCharType="begin"/>
        </w:r>
        <w:r>
          <w:rPr>
            <w:noProof/>
            <w:webHidden/>
          </w:rPr>
          <w:instrText xml:space="preserve"> PAGEREF _Toc232849025 \h </w:instrText>
        </w:r>
        <w:r>
          <w:rPr>
            <w:noProof/>
            <w:webHidden/>
          </w:rPr>
        </w:r>
        <w:r>
          <w:rPr>
            <w:noProof/>
            <w:webHidden/>
          </w:rPr>
          <w:fldChar w:fldCharType="separate"/>
        </w:r>
        <w:r>
          <w:rPr>
            <w:noProof/>
            <w:webHidden/>
          </w:rPr>
          <w:t>91</w:t>
        </w:r>
        <w:r>
          <w:rPr>
            <w:noProof/>
            <w:webHidden/>
          </w:rPr>
          <w:fldChar w:fldCharType="end"/>
        </w:r>
      </w:hyperlink>
    </w:p>
    <w:p w14:paraId="48A0C498" w14:textId="6E299B37" w:rsidR="00254505" w:rsidRPr="00254505" w:rsidRDefault="00254505" w:rsidP="00254505">
      <w:r>
        <w:fldChar w:fldCharType="end"/>
      </w:r>
    </w:p>
    <w:p w14:paraId="74A3057B" w14:textId="4084AB23" w:rsidR="00254505" w:rsidRDefault="00254505" w:rsidP="00254505">
      <w:pPr>
        <w:pStyle w:val="Heading1"/>
        <w:numPr>
          <w:ilvl w:val="0"/>
          <w:numId w:val="0"/>
        </w:numPr>
        <w:ind w:left="432"/>
      </w:pPr>
      <w:bookmarkStart w:id="15" w:name="_Toc232850305"/>
      <w:r>
        <w:t>List of figures</w:t>
      </w:r>
      <w:bookmarkEnd w:id="15"/>
    </w:p>
    <w:p w14:paraId="4D5C0EF0" w14:textId="3DC09376" w:rsidR="00254505" w:rsidRDefault="00254505">
      <w:pPr>
        <w:pStyle w:val="TableofFigures"/>
        <w:tabs>
          <w:tab w:val="right" w:leader="dot" w:pos="9350"/>
        </w:tabs>
        <w:rPr>
          <w:rFonts w:asciiTheme="minorHAnsi" w:eastAsiaTheme="minorEastAsia" w:hAnsiTheme="minorHAnsi" w:cstheme="minorBidi"/>
          <w:noProof/>
          <w:kern w:val="2"/>
          <w:szCs w:val="24"/>
          <w14:ligatures w14:val="standardContextual"/>
        </w:rPr>
      </w:pPr>
      <w:r>
        <w:fldChar w:fldCharType="begin"/>
      </w:r>
      <w:r>
        <w:instrText xml:space="preserve"> TOC \h \z \c "Figure" </w:instrText>
      </w:r>
      <w:r>
        <w:fldChar w:fldCharType="separate"/>
      </w:r>
      <w:hyperlink w:anchor="_Toc232849051" w:history="1">
        <w:r w:rsidRPr="00AB5BFD">
          <w:rPr>
            <w:rStyle w:val="Hyperlink"/>
            <w:noProof/>
          </w:rPr>
          <w:t>Figure 1: Study Ghant Chart</w:t>
        </w:r>
        <w:r>
          <w:rPr>
            <w:noProof/>
            <w:webHidden/>
          </w:rPr>
          <w:tab/>
        </w:r>
        <w:r>
          <w:rPr>
            <w:noProof/>
            <w:webHidden/>
          </w:rPr>
          <w:fldChar w:fldCharType="begin"/>
        </w:r>
        <w:r>
          <w:rPr>
            <w:noProof/>
            <w:webHidden/>
          </w:rPr>
          <w:instrText xml:space="preserve"> PAGEREF _Toc232849051 \h </w:instrText>
        </w:r>
        <w:r>
          <w:rPr>
            <w:noProof/>
            <w:webHidden/>
          </w:rPr>
        </w:r>
        <w:r>
          <w:rPr>
            <w:noProof/>
            <w:webHidden/>
          </w:rPr>
          <w:fldChar w:fldCharType="separate"/>
        </w:r>
        <w:r>
          <w:rPr>
            <w:noProof/>
            <w:webHidden/>
          </w:rPr>
          <w:t>82</w:t>
        </w:r>
        <w:r>
          <w:rPr>
            <w:noProof/>
            <w:webHidden/>
          </w:rPr>
          <w:fldChar w:fldCharType="end"/>
        </w:r>
      </w:hyperlink>
    </w:p>
    <w:p w14:paraId="5FB5DBDC" w14:textId="53B3BE38" w:rsidR="00254505" w:rsidRDefault="00254505">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232849052" w:history="1">
        <w:r w:rsidRPr="00AB5BFD">
          <w:rPr>
            <w:rStyle w:val="Hyperlink"/>
            <w:rFonts w:cs="Times New Roman"/>
            <w:noProof/>
          </w:rPr>
          <w:t>Figure 2: Measles IgM Seroprevalence Among Suspected Cases, Malawi, April 2023 to December 2024 (N = 1,191)</w:t>
        </w:r>
        <w:r>
          <w:rPr>
            <w:noProof/>
            <w:webHidden/>
          </w:rPr>
          <w:tab/>
        </w:r>
        <w:r>
          <w:rPr>
            <w:noProof/>
            <w:webHidden/>
          </w:rPr>
          <w:fldChar w:fldCharType="begin"/>
        </w:r>
        <w:r>
          <w:rPr>
            <w:noProof/>
            <w:webHidden/>
          </w:rPr>
          <w:instrText xml:space="preserve"> PAGEREF _Toc232849052 \h </w:instrText>
        </w:r>
        <w:r>
          <w:rPr>
            <w:noProof/>
            <w:webHidden/>
          </w:rPr>
        </w:r>
        <w:r>
          <w:rPr>
            <w:noProof/>
            <w:webHidden/>
          </w:rPr>
          <w:fldChar w:fldCharType="separate"/>
        </w:r>
        <w:r>
          <w:rPr>
            <w:noProof/>
            <w:webHidden/>
          </w:rPr>
          <w:t>87</w:t>
        </w:r>
        <w:r>
          <w:rPr>
            <w:noProof/>
            <w:webHidden/>
          </w:rPr>
          <w:fldChar w:fldCharType="end"/>
        </w:r>
      </w:hyperlink>
    </w:p>
    <w:p w14:paraId="5EC07C7C" w14:textId="456E5BDE" w:rsidR="00254505" w:rsidRDefault="00254505">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232849053" w:history="1">
        <w:r w:rsidRPr="00AB5BFD">
          <w:rPr>
            <w:rStyle w:val="Hyperlink"/>
            <w:noProof/>
          </w:rPr>
          <w:t>Figure 3: Epidemic Curve of Measles Cases by Month of Onset, Malawi, April 2023 to December 2024</w:t>
        </w:r>
        <w:r>
          <w:rPr>
            <w:noProof/>
            <w:webHidden/>
          </w:rPr>
          <w:tab/>
        </w:r>
        <w:r>
          <w:rPr>
            <w:noProof/>
            <w:webHidden/>
          </w:rPr>
          <w:fldChar w:fldCharType="begin"/>
        </w:r>
        <w:r>
          <w:rPr>
            <w:noProof/>
            <w:webHidden/>
          </w:rPr>
          <w:instrText xml:space="preserve"> PAGEREF _Toc232849053 \h </w:instrText>
        </w:r>
        <w:r>
          <w:rPr>
            <w:noProof/>
            <w:webHidden/>
          </w:rPr>
        </w:r>
        <w:r>
          <w:rPr>
            <w:noProof/>
            <w:webHidden/>
          </w:rPr>
          <w:fldChar w:fldCharType="separate"/>
        </w:r>
        <w:r>
          <w:rPr>
            <w:noProof/>
            <w:webHidden/>
          </w:rPr>
          <w:t>88</w:t>
        </w:r>
        <w:r>
          <w:rPr>
            <w:noProof/>
            <w:webHidden/>
          </w:rPr>
          <w:fldChar w:fldCharType="end"/>
        </w:r>
      </w:hyperlink>
    </w:p>
    <w:p w14:paraId="19747AAA" w14:textId="36765715" w:rsidR="00254505" w:rsidRDefault="00254505">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232849054" w:history="1">
        <w:r w:rsidRPr="00AB5BFD">
          <w:rPr>
            <w:rStyle w:val="Hyperlink"/>
            <w:noProof/>
          </w:rPr>
          <w:t>Figure 4: Choropleth Map of Measles IgM Seroprevalence by District, Malawi, April 2023 to December 2024 (N = 1,191)</w:t>
        </w:r>
        <w:r>
          <w:rPr>
            <w:noProof/>
            <w:webHidden/>
          </w:rPr>
          <w:tab/>
        </w:r>
        <w:r>
          <w:rPr>
            <w:noProof/>
            <w:webHidden/>
          </w:rPr>
          <w:fldChar w:fldCharType="begin"/>
        </w:r>
        <w:r>
          <w:rPr>
            <w:noProof/>
            <w:webHidden/>
          </w:rPr>
          <w:instrText xml:space="preserve"> PAGEREF _Toc232849054 \h </w:instrText>
        </w:r>
        <w:r>
          <w:rPr>
            <w:noProof/>
            <w:webHidden/>
          </w:rPr>
        </w:r>
        <w:r>
          <w:rPr>
            <w:noProof/>
            <w:webHidden/>
          </w:rPr>
          <w:fldChar w:fldCharType="separate"/>
        </w:r>
        <w:r>
          <w:rPr>
            <w:noProof/>
            <w:webHidden/>
          </w:rPr>
          <w:t>94</w:t>
        </w:r>
        <w:r>
          <w:rPr>
            <w:noProof/>
            <w:webHidden/>
          </w:rPr>
          <w:fldChar w:fldCharType="end"/>
        </w:r>
      </w:hyperlink>
    </w:p>
    <w:p w14:paraId="541DA99D" w14:textId="24928887" w:rsidR="00254505" w:rsidRPr="00254505" w:rsidRDefault="00254505" w:rsidP="00254505">
      <w:r>
        <w:fldChar w:fldCharType="end"/>
      </w:r>
    </w:p>
    <w:p w14:paraId="2D905529" w14:textId="57361E90" w:rsidR="00254505" w:rsidRDefault="00254505" w:rsidP="0038502B">
      <w:pPr>
        <w:widowControl w:val="0"/>
        <w:tabs>
          <w:tab w:val="left" w:leader="dot" w:pos="8326"/>
        </w:tabs>
        <w:autoSpaceDE w:val="0"/>
        <w:autoSpaceDN w:val="0"/>
        <w:spacing w:line="480" w:lineRule="auto"/>
        <w:ind w:left="163"/>
        <w:jc w:val="left"/>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br w:type="page"/>
      </w:r>
    </w:p>
    <w:p w14:paraId="523F538D" w14:textId="77777777" w:rsidR="006055D0" w:rsidRPr="0038502B" w:rsidRDefault="006055D0" w:rsidP="0038502B">
      <w:pPr>
        <w:widowControl w:val="0"/>
        <w:tabs>
          <w:tab w:val="left" w:leader="dot" w:pos="8326"/>
        </w:tabs>
        <w:autoSpaceDE w:val="0"/>
        <w:autoSpaceDN w:val="0"/>
        <w:spacing w:line="480" w:lineRule="auto"/>
        <w:ind w:left="163"/>
        <w:jc w:val="left"/>
        <w:rPr>
          <w:rFonts w:ascii="Times New Roman" w:eastAsia="Times New Roman" w:hAnsi="Times New Roman" w:cs="Times New Roman"/>
          <w:spacing w:val="-5"/>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6"/>
        <w:gridCol w:w="5181"/>
      </w:tblGrid>
      <w:tr w:rsidR="00DD6BFA" w:rsidRPr="00DD6BFA" w14:paraId="295C121B" w14:textId="77777777">
        <w:trPr>
          <w:tblHeader/>
          <w:tblCellSpacing w:w="15" w:type="dxa"/>
        </w:trPr>
        <w:tc>
          <w:tcPr>
            <w:tcW w:w="0" w:type="auto"/>
            <w:vAlign w:val="center"/>
            <w:hideMark/>
          </w:tcPr>
          <w:p w14:paraId="1DECA744" w14:textId="77777777" w:rsidR="00DD6BFA" w:rsidRPr="00DD6BFA" w:rsidRDefault="00DD6BFA" w:rsidP="00985840">
            <w:pPr>
              <w:spacing w:line="480" w:lineRule="auto"/>
              <w:jc w:val="center"/>
              <w:rPr>
                <w:rFonts w:ascii="Times New Roman" w:eastAsia="Times New Roman" w:hAnsi="Times New Roman" w:cs="Times New Roman"/>
                <w:b/>
                <w:bCs/>
                <w:sz w:val="24"/>
                <w:szCs w:val="24"/>
              </w:rPr>
            </w:pPr>
            <w:r w:rsidRPr="00DD6BFA">
              <w:rPr>
                <w:rFonts w:ascii="Times New Roman" w:eastAsia="Times New Roman" w:hAnsi="Times New Roman" w:cs="Times New Roman"/>
                <w:b/>
                <w:bCs/>
                <w:sz w:val="24"/>
                <w:szCs w:val="24"/>
              </w:rPr>
              <w:t>Abbreviation</w:t>
            </w:r>
          </w:p>
        </w:tc>
        <w:tc>
          <w:tcPr>
            <w:tcW w:w="0" w:type="auto"/>
            <w:vAlign w:val="center"/>
            <w:hideMark/>
          </w:tcPr>
          <w:p w14:paraId="1AD99CAB" w14:textId="77777777" w:rsidR="00DD6BFA" w:rsidRPr="00DD6BFA" w:rsidRDefault="00DD6BFA" w:rsidP="00985840">
            <w:pPr>
              <w:spacing w:line="480" w:lineRule="auto"/>
              <w:jc w:val="center"/>
              <w:rPr>
                <w:rFonts w:ascii="Times New Roman" w:eastAsia="Times New Roman" w:hAnsi="Times New Roman" w:cs="Times New Roman"/>
                <w:b/>
                <w:bCs/>
                <w:sz w:val="24"/>
                <w:szCs w:val="24"/>
              </w:rPr>
            </w:pPr>
            <w:r w:rsidRPr="00DD6BFA">
              <w:rPr>
                <w:rFonts w:ascii="Times New Roman" w:eastAsia="Times New Roman" w:hAnsi="Times New Roman" w:cs="Times New Roman"/>
                <w:b/>
                <w:bCs/>
                <w:sz w:val="24"/>
                <w:szCs w:val="24"/>
              </w:rPr>
              <w:t>Full Term</w:t>
            </w:r>
          </w:p>
        </w:tc>
      </w:tr>
      <w:tr w:rsidR="00DD6BFA" w:rsidRPr="00DD6BFA" w14:paraId="0A6523AD" w14:textId="77777777">
        <w:trPr>
          <w:tblCellSpacing w:w="15" w:type="dxa"/>
        </w:trPr>
        <w:tc>
          <w:tcPr>
            <w:tcW w:w="0" w:type="auto"/>
            <w:vAlign w:val="center"/>
            <w:hideMark/>
          </w:tcPr>
          <w:p w14:paraId="4C2F624F"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CHSU</w:t>
            </w:r>
          </w:p>
        </w:tc>
        <w:tc>
          <w:tcPr>
            <w:tcW w:w="0" w:type="auto"/>
            <w:vAlign w:val="center"/>
            <w:hideMark/>
          </w:tcPr>
          <w:p w14:paraId="50DB5BFF"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Community Health Sciences Unit</w:t>
            </w:r>
          </w:p>
        </w:tc>
      </w:tr>
      <w:tr w:rsidR="00DD6BFA" w:rsidRPr="00DD6BFA" w14:paraId="6CFDB456" w14:textId="77777777">
        <w:trPr>
          <w:tblCellSpacing w:w="15" w:type="dxa"/>
        </w:trPr>
        <w:tc>
          <w:tcPr>
            <w:tcW w:w="0" w:type="auto"/>
            <w:vAlign w:val="center"/>
            <w:hideMark/>
          </w:tcPr>
          <w:p w14:paraId="651655BF"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COMREC</w:t>
            </w:r>
          </w:p>
        </w:tc>
        <w:tc>
          <w:tcPr>
            <w:tcW w:w="0" w:type="auto"/>
            <w:vAlign w:val="center"/>
            <w:hideMark/>
          </w:tcPr>
          <w:p w14:paraId="24E47F8B"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College of Medicine Research and Ethics Committee</w:t>
            </w:r>
          </w:p>
        </w:tc>
      </w:tr>
      <w:tr w:rsidR="00DD6BFA" w:rsidRPr="00DD6BFA" w14:paraId="583523AE" w14:textId="77777777">
        <w:trPr>
          <w:tblCellSpacing w:w="15" w:type="dxa"/>
        </w:trPr>
        <w:tc>
          <w:tcPr>
            <w:tcW w:w="0" w:type="auto"/>
            <w:vAlign w:val="center"/>
            <w:hideMark/>
          </w:tcPr>
          <w:p w14:paraId="5BFC33F6"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EPI</w:t>
            </w:r>
          </w:p>
        </w:tc>
        <w:tc>
          <w:tcPr>
            <w:tcW w:w="0" w:type="auto"/>
            <w:vAlign w:val="center"/>
            <w:hideMark/>
          </w:tcPr>
          <w:p w14:paraId="756253C8"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Expanded Programme on Immunization</w:t>
            </w:r>
          </w:p>
        </w:tc>
      </w:tr>
      <w:tr w:rsidR="00DD6BFA" w:rsidRPr="00DD6BFA" w14:paraId="272F8905" w14:textId="77777777">
        <w:trPr>
          <w:tblCellSpacing w:w="15" w:type="dxa"/>
        </w:trPr>
        <w:tc>
          <w:tcPr>
            <w:tcW w:w="0" w:type="auto"/>
            <w:vAlign w:val="center"/>
            <w:hideMark/>
          </w:tcPr>
          <w:p w14:paraId="09A6A627"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HIV</w:t>
            </w:r>
          </w:p>
        </w:tc>
        <w:tc>
          <w:tcPr>
            <w:tcW w:w="0" w:type="auto"/>
            <w:vAlign w:val="center"/>
            <w:hideMark/>
          </w:tcPr>
          <w:p w14:paraId="5940D4C6"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Human Immunodeficiency Virus</w:t>
            </w:r>
          </w:p>
        </w:tc>
      </w:tr>
      <w:tr w:rsidR="00DD6BFA" w:rsidRPr="00DD6BFA" w14:paraId="6620B26B" w14:textId="77777777">
        <w:trPr>
          <w:tblCellSpacing w:w="15" w:type="dxa"/>
        </w:trPr>
        <w:tc>
          <w:tcPr>
            <w:tcW w:w="0" w:type="auto"/>
            <w:vAlign w:val="center"/>
            <w:hideMark/>
          </w:tcPr>
          <w:p w14:paraId="65A85D88"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IgG</w:t>
            </w:r>
          </w:p>
        </w:tc>
        <w:tc>
          <w:tcPr>
            <w:tcW w:w="0" w:type="auto"/>
            <w:vAlign w:val="center"/>
            <w:hideMark/>
          </w:tcPr>
          <w:p w14:paraId="071906A6"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Immunoglobulin G</w:t>
            </w:r>
          </w:p>
        </w:tc>
      </w:tr>
      <w:tr w:rsidR="00DD6BFA" w:rsidRPr="00DD6BFA" w14:paraId="5FF10AF0" w14:textId="77777777">
        <w:trPr>
          <w:tblCellSpacing w:w="15" w:type="dxa"/>
        </w:trPr>
        <w:tc>
          <w:tcPr>
            <w:tcW w:w="0" w:type="auto"/>
            <w:vAlign w:val="center"/>
            <w:hideMark/>
          </w:tcPr>
          <w:p w14:paraId="0F69A1D8"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IRB</w:t>
            </w:r>
          </w:p>
        </w:tc>
        <w:tc>
          <w:tcPr>
            <w:tcW w:w="0" w:type="auto"/>
            <w:vAlign w:val="center"/>
            <w:hideMark/>
          </w:tcPr>
          <w:p w14:paraId="62728F51"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Institutional Review Board</w:t>
            </w:r>
          </w:p>
        </w:tc>
      </w:tr>
      <w:tr w:rsidR="00DD6BFA" w:rsidRPr="00DD6BFA" w14:paraId="3FC2951D" w14:textId="77777777">
        <w:trPr>
          <w:tblCellSpacing w:w="15" w:type="dxa"/>
        </w:trPr>
        <w:tc>
          <w:tcPr>
            <w:tcW w:w="0" w:type="auto"/>
            <w:vAlign w:val="center"/>
            <w:hideMark/>
          </w:tcPr>
          <w:p w14:paraId="3D3D8456"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KCH</w:t>
            </w:r>
          </w:p>
        </w:tc>
        <w:tc>
          <w:tcPr>
            <w:tcW w:w="0" w:type="auto"/>
            <w:vAlign w:val="center"/>
            <w:hideMark/>
          </w:tcPr>
          <w:p w14:paraId="7C0AA756"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Kamuzu Central Hospital</w:t>
            </w:r>
          </w:p>
        </w:tc>
      </w:tr>
      <w:tr w:rsidR="00DD6BFA" w:rsidRPr="00DD6BFA" w14:paraId="79C0F5DF" w14:textId="77777777">
        <w:trPr>
          <w:tblCellSpacing w:w="15" w:type="dxa"/>
        </w:trPr>
        <w:tc>
          <w:tcPr>
            <w:tcW w:w="0" w:type="auto"/>
            <w:vAlign w:val="center"/>
            <w:hideMark/>
          </w:tcPr>
          <w:p w14:paraId="26DF5194"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KUHeS</w:t>
            </w:r>
          </w:p>
        </w:tc>
        <w:tc>
          <w:tcPr>
            <w:tcW w:w="0" w:type="auto"/>
            <w:vAlign w:val="center"/>
            <w:hideMark/>
          </w:tcPr>
          <w:p w14:paraId="60495EA6"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Kamuzu University of Health Sciences</w:t>
            </w:r>
          </w:p>
        </w:tc>
      </w:tr>
      <w:tr w:rsidR="00DD6BFA" w:rsidRPr="00DD6BFA" w14:paraId="1D005F34" w14:textId="77777777">
        <w:trPr>
          <w:tblCellSpacing w:w="15" w:type="dxa"/>
        </w:trPr>
        <w:tc>
          <w:tcPr>
            <w:tcW w:w="0" w:type="auto"/>
            <w:vAlign w:val="center"/>
            <w:hideMark/>
          </w:tcPr>
          <w:p w14:paraId="7AA5579B"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LMICs</w:t>
            </w:r>
          </w:p>
        </w:tc>
        <w:tc>
          <w:tcPr>
            <w:tcW w:w="0" w:type="auto"/>
            <w:vAlign w:val="center"/>
            <w:hideMark/>
          </w:tcPr>
          <w:p w14:paraId="341ECF38"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Low- and Middle-Income Countries</w:t>
            </w:r>
          </w:p>
        </w:tc>
      </w:tr>
      <w:tr w:rsidR="00DD6BFA" w:rsidRPr="00DD6BFA" w14:paraId="25CDF8DB" w14:textId="77777777">
        <w:trPr>
          <w:tblCellSpacing w:w="15" w:type="dxa"/>
        </w:trPr>
        <w:tc>
          <w:tcPr>
            <w:tcW w:w="0" w:type="auto"/>
            <w:vAlign w:val="center"/>
            <w:hideMark/>
          </w:tcPr>
          <w:p w14:paraId="325108C9"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MoH</w:t>
            </w:r>
          </w:p>
        </w:tc>
        <w:tc>
          <w:tcPr>
            <w:tcW w:w="0" w:type="auto"/>
            <w:vAlign w:val="center"/>
            <w:hideMark/>
          </w:tcPr>
          <w:p w14:paraId="69CAD804"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Ministry of Health</w:t>
            </w:r>
          </w:p>
        </w:tc>
      </w:tr>
      <w:tr w:rsidR="00DD6BFA" w:rsidRPr="00DD6BFA" w14:paraId="3ACB20C4" w14:textId="77777777">
        <w:trPr>
          <w:tblCellSpacing w:w="15" w:type="dxa"/>
        </w:trPr>
        <w:tc>
          <w:tcPr>
            <w:tcW w:w="0" w:type="auto"/>
            <w:vAlign w:val="center"/>
            <w:hideMark/>
          </w:tcPr>
          <w:p w14:paraId="69D0B682"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NSO</w:t>
            </w:r>
          </w:p>
        </w:tc>
        <w:tc>
          <w:tcPr>
            <w:tcW w:w="0" w:type="auto"/>
            <w:vAlign w:val="center"/>
            <w:hideMark/>
          </w:tcPr>
          <w:p w14:paraId="06F687F9"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National Statistical Office</w:t>
            </w:r>
          </w:p>
        </w:tc>
      </w:tr>
      <w:tr w:rsidR="00DD6BFA" w:rsidRPr="00DD6BFA" w14:paraId="33BECE87" w14:textId="77777777">
        <w:trPr>
          <w:tblCellSpacing w:w="15" w:type="dxa"/>
        </w:trPr>
        <w:tc>
          <w:tcPr>
            <w:tcW w:w="0" w:type="auto"/>
            <w:vAlign w:val="center"/>
            <w:hideMark/>
          </w:tcPr>
          <w:p w14:paraId="1DB4D9B8"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WHO</w:t>
            </w:r>
          </w:p>
        </w:tc>
        <w:tc>
          <w:tcPr>
            <w:tcW w:w="0" w:type="auto"/>
            <w:vAlign w:val="center"/>
            <w:hideMark/>
          </w:tcPr>
          <w:p w14:paraId="3E112B81" w14:textId="77777777" w:rsidR="00DD6BFA" w:rsidRPr="00DD6BFA" w:rsidRDefault="00DD6BFA" w:rsidP="00DD6BFA">
            <w:pPr>
              <w:spacing w:line="480" w:lineRule="auto"/>
              <w:jc w:val="left"/>
              <w:rPr>
                <w:rFonts w:ascii="Times New Roman" w:eastAsia="Times New Roman" w:hAnsi="Times New Roman" w:cs="Times New Roman"/>
                <w:sz w:val="24"/>
                <w:szCs w:val="24"/>
              </w:rPr>
            </w:pPr>
            <w:r w:rsidRPr="00DD6BFA">
              <w:rPr>
                <w:rFonts w:ascii="Times New Roman" w:eastAsia="Times New Roman" w:hAnsi="Times New Roman" w:cs="Times New Roman"/>
                <w:sz w:val="24"/>
                <w:szCs w:val="24"/>
              </w:rPr>
              <w:t>World Health Organization</w:t>
            </w:r>
          </w:p>
        </w:tc>
      </w:tr>
    </w:tbl>
    <w:p w14:paraId="54315F50" w14:textId="77777777" w:rsidR="00FD2383" w:rsidRDefault="00CE1111" w:rsidP="0038502B">
      <w:pPr>
        <w:spacing w:line="480" w:lineRule="auto"/>
        <w:rPr>
          <w:rFonts w:ascii="Times New Roman" w:hAnsi="Times New Roman" w:cs="Times New Roman"/>
          <w:b/>
          <w:sz w:val="24"/>
          <w:szCs w:val="24"/>
        </w:rPr>
        <w:sectPr w:rsidR="00FD2383" w:rsidSect="00B3476D">
          <w:footerReference w:type="default" r:id="rId9"/>
          <w:pgSz w:w="12240" w:h="15840"/>
          <w:pgMar w:top="1440" w:right="1440" w:bottom="1440" w:left="1440" w:header="720" w:footer="720" w:gutter="0"/>
          <w:pgNumType w:fmt="lowerRoman" w:start="1"/>
          <w:cols w:space="720"/>
          <w:titlePg/>
          <w:docGrid w:linePitch="360"/>
        </w:sectPr>
      </w:pPr>
      <w:r w:rsidRPr="0038502B">
        <w:rPr>
          <w:rFonts w:ascii="Times New Roman" w:hAnsi="Times New Roman" w:cs="Times New Roman"/>
          <w:b/>
          <w:sz w:val="24"/>
          <w:szCs w:val="24"/>
        </w:rPr>
        <w:br w:type="page"/>
      </w:r>
    </w:p>
    <w:p w14:paraId="38024D64" w14:textId="60776127" w:rsidR="00CE1111" w:rsidRPr="0038502B" w:rsidRDefault="00CE1111" w:rsidP="0038502B">
      <w:pPr>
        <w:spacing w:line="480" w:lineRule="auto"/>
        <w:rPr>
          <w:rFonts w:ascii="Times New Roman" w:hAnsi="Times New Roman" w:cs="Times New Roman"/>
          <w:b/>
          <w:sz w:val="24"/>
          <w:szCs w:val="24"/>
        </w:rPr>
      </w:pPr>
    </w:p>
    <w:p w14:paraId="5ED6FFDD" w14:textId="77777777" w:rsidR="00CE1111" w:rsidRPr="0038502B" w:rsidRDefault="00CE1111" w:rsidP="0038502B">
      <w:pPr>
        <w:spacing w:line="480" w:lineRule="auto"/>
        <w:rPr>
          <w:rFonts w:ascii="Times New Roman" w:hAnsi="Times New Roman" w:cs="Times New Roman"/>
          <w:b/>
          <w:sz w:val="24"/>
          <w:szCs w:val="24"/>
        </w:rPr>
      </w:pPr>
    </w:p>
    <w:p w14:paraId="6D5C7E99" w14:textId="77777777" w:rsidR="006055D0" w:rsidRPr="0038502B" w:rsidRDefault="006055D0" w:rsidP="0038502B">
      <w:pPr>
        <w:spacing w:line="480" w:lineRule="auto"/>
        <w:rPr>
          <w:rFonts w:ascii="Times New Roman" w:hAnsi="Times New Roman" w:cs="Times New Roman"/>
          <w:b/>
          <w:sz w:val="24"/>
          <w:szCs w:val="24"/>
        </w:rPr>
      </w:pPr>
    </w:p>
    <w:p w14:paraId="0003F0C2" w14:textId="2ACC6A2F" w:rsidR="00E852EF" w:rsidRPr="0038502B" w:rsidRDefault="00E852EF" w:rsidP="00985840">
      <w:pPr>
        <w:pStyle w:val="Heading1"/>
      </w:pPr>
      <w:bookmarkStart w:id="16" w:name="_Toc232844521"/>
      <w:bookmarkStart w:id="17" w:name="_Toc232850306"/>
      <w:r w:rsidRPr="0038502B">
        <w:t>C</w:t>
      </w:r>
      <w:r w:rsidR="00C1319C" w:rsidRPr="0038502B">
        <w:t>hapter 1</w:t>
      </w:r>
      <w:r w:rsidR="005174AF">
        <w:tab/>
      </w:r>
      <w:r w:rsidR="00C1319C" w:rsidRPr="0038502B">
        <w:t xml:space="preserve">Introduction and Objectives of the </w:t>
      </w:r>
      <w:bookmarkEnd w:id="16"/>
      <w:r w:rsidR="00985840">
        <w:t>Study</w:t>
      </w:r>
      <w:bookmarkEnd w:id="17"/>
    </w:p>
    <w:p w14:paraId="3237EBFD" w14:textId="21C89FA5" w:rsidR="00E852EF" w:rsidRPr="0038502B" w:rsidRDefault="00FC4F13" w:rsidP="0038502B">
      <w:pPr>
        <w:pStyle w:val="Heading2"/>
      </w:pPr>
      <w:bookmarkStart w:id="18" w:name="_Toc232844522"/>
      <w:bookmarkStart w:id="19" w:name="_Toc232850307"/>
      <w:r w:rsidRPr="0038502B">
        <w:t>Background</w:t>
      </w:r>
      <w:bookmarkEnd w:id="18"/>
      <w:bookmarkEnd w:id="19"/>
    </w:p>
    <w:p w14:paraId="4E746062" w14:textId="7A0AFA29" w:rsidR="00C1319C" w:rsidRPr="0038502B" w:rsidRDefault="00E852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Measles is a highly contagious viral disease caused by the measles virus, a member of the genus </w:t>
      </w:r>
      <w:r w:rsidRPr="0038502B">
        <w:rPr>
          <w:rFonts w:ascii="Times New Roman" w:hAnsi="Times New Roman" w:cs="Times New Roman"/>
          <w:i/>
          <w:iCs/>
          <w:sz w:val="24"/>
          <w:szCs w:val="24"/>
        </w:rPr>
        <w:t>Morbillivirus</w:t>
      </w:r>
      <w:r w:rsidRPr="0038502B">
        <w:rPr>
          <w:rFonts w:ascii="Times New Roman" w:hAnsi="Times New Roman" w:cs="Times New Roman"/>
          <w:sz w:val="24"/>
          <w:szCs w:val="24"/>
        </w:rPr>
        <w:t xml:space="preserve"> within the family </w:t>
      </w:r>
      <w:r w:rsidRPr="0038502B">
        <w:rPr>
          <w:rFonts w:ascii="Times New Roman" w:hAnsi="Times New Roman" w:cs="Times New Roman"/>
          <w:i/>
          <w:iCs/>
          <w:sz w:val="24"/>
          <w:szCs w:val="24"/>
        </w:rPr>
        <w:t>Paramyxoviridae</w:t>
      </w:r>
      <w:r w:rsidRPr="0038502B">
        <w:rPr>
          <w:rFonts w:ascii="Times New Roman" w:hAnsi="Times New Roman" w:cs="Times New Roman"/>
          <w:sz w:val="24"/>
          <w:szCs w:val="24"/>
        </w:rPr>
        <w:t>. The disease remains one of the leading causes of vaccine-preventable morbidity and mortality worldwide, particularly among children under five years of age in low- and middle-income countries (LMICs). Despite the availability of a safe, effective, and inexpensive vaccine for more than five decades, measles continues to pose a major public health challenge globally</w:t>
      </w:r>
      <w:r w:rsidR="00A9607A">
        <w:rPr>
          <w:rFonts w:ascii="Times New Roman" w:hAnsi="Times New Roman" w:cs="Times New Roman"/>
          <w:sz w:val="24"/>
          <w:szCs w:val="24"/>
        </w:rPr>
        <w:t xml:space="preserve"> </w:t>
      </w:r>
      <w:r w:rsidR="00A9607A">
        <w:rPr>
          <w:rFonts w:ascii="Times New Roman" w:hAnsi="Times New Roman" w:cs="Times New Roman"/>
          <w:sz w:val="24"/>
          <w:szCs w:val="24"/>
        </w:rPr>
        <w:fldChar w:fldCharType="begin"/>
      </w:r>
      <w:r w:rsidR="00A9607A">
        <w:rPr>
          <w:rFonts w:ascii="Times New Roman" w:hAnsi="Times New Roman" w:cs="Times New Roman"/>
          <w:sz w:val="24"/>
          <w:szCs w:val="24"/>
        </w:rPr>
        <w:instrText xml:space="preserve"> ADDIN ZOTERO_ITEM CSL_CITATION {"citationID":"h9JGQhtM","properties":{"unsorted":false,"formattedCitation":"(1)","plainCitation":"(1)","noteIndex":0},"citationItems":[{"id":24103,"uris":["http://zotero.org/users/6223522/items/2JCLV8C8"],"itemData":{"id":24103,"type":"webpage","title":"Measles Fact Sheet","URL":"https://www.who.int/news-room/fact-sheets/detail/measles","author":[{"literal":"World Health Organization"}],"issued":{"date-parts":[["2024"]]}}}],"schema":"https://github.com/citation-style-language/schema/raw/master/csl-citation.json"} </w:instrText>
      </w:r>
      <w:r w:rsidR="00A9607A">
        <w:rPr>
          <w:rFonts w:ascii="Times New Roman" w:hAnsi="Times New Roman" w:cs="Times New Roman"/>
          <w:sz w:val="24"/>
          <w:szCs w:val="24"/>
        </w:rPr>
        <w:fldChar w:fldCharType="separate"/>
      </w:r>
      <w:r w:rsidR="00A9607A" w:rsidRPr="00A9607A">
        <w:rPr>
          <w:rFonts w:ascii="Times New Roman" w:hAnsi="Times New Roman" w:cs="Times New Roman"/>
          <w:sz w:val="24"/>
        </w:rPr>
        <w:t>(1)</w:t>
      </w:r>
      <w:r w:rsidR="00A9607A">
        <w:rPr>
          <w:rFonts w:ascii="Times New Roman" w:hAnsi="Times New Roman" w:cs="Times New Roman"/>
          <w:sz w:val="24"/>
          <w:szCs w:val="24"/>
        </w:rPr>
        <w:fldChar w:fldCharType="end"/>
      </w:r>
      <w:r w:rsidR="00A9607A">
        <w:rPr>
          <w:rFonts w:ascii="Times New Roman" w:hAnsi="Times New Roman" w:cs="Times New Roman"/>
          <w:sz w:val="24"/>
          <w:szCs w:val="24"/>
        </w:rPr>
        <w:t>.</w:t>
      </w:r>
    </w:p>
    <w:p w14:paraId="3685ED8E" w14:textId="77777777" w:rsidR="00FD2383" w:rsidRDefault="00FD2383" w:rsidP="0038502B">
      <w:pPr>
        <w:spacing w:line="480" w:lineRule="auto"/>
        <w:rPr>
          <w:rFonts w:ascii="Times New Roman" w:hAnsi="Times New Roman" w:cs="Times New Roman"/>
          <w:sz w:val="24"/>
          <w:szCs w:val="24"/>
        </w:rPr>
      </w:pPr>
    </w:p>
    <w:p w14:paraId="0ED0D7D2" w14:textId="17627096" w:rsidR="00E852EF" w:rsidRPr="0038502B" w:rsidRDefault="00E852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Transmission occurs primarily through respiratory droplets and airborne spread, making measles one of the most infectious diseases known to humans. Clinical manifestations include fever, cough, coryza, conjunctivitis, and a characteristic maculopapular rash. Severe complications include pneumonia, encephalitis, blindness, malnutrition, and death, especially among under five children, immunocompromised individuals and malnourished children </w:t>
      </w:r>
      <w:r w:rsidR="00A9607A">
        <w:rPr>
          <w:rFonts w:ascii="Times New Roman" w:hAnsi="Times New Roman" w:cs="Times New Roman"/>
          <w:sz w:val="24"/>
          <w:szCs w:val="24"/>
        </w:rPr>
        <w:t xml:space="preserve"> </w:t>
      </w:r>
      <w:r w:rsidR="00A9607A">
        <w:rPr>
          <w:rFonts w:ascii="Times New Roman" w:hAnsi="Times New Roman" w:cs="Times New Roman"/>
          <w:sz w:val="24"/>
          <w:szCs w:val="24"/>
        </w:rPr>
        <w:fldChar w:fldCharType="begin"/>
      </w:r>
      <w:r w:rsidR="00A9607A">
        <w:rPr>
          <w:rFonts w:ascii="Times New Roman" w:hAnsi="Times New Roman" w:cs="Times New Roman"/>
          <w:sz w:val="24"/>
          <w:szCs w:val="24"/>
        </w:rPr>
        <w:instrText xml:space="preserve"> ADDIN ZOTERO_ITEM CSL_CITATION {"citationID":"C1XGRANT","properties":{"unsorted":false,"formattedCitation":"(1)","plainCitation":"(1)","noteIndex":0},"citationItems":[{"id":24103,"uris":["http://zotero.org/users/6223522/items/2JCLV8C8"],"itemData":{"id":24103,"type":"webpage","title":"Measles Fact Sheet","URL":"https://www.who.int/news-room/fact-sheets/detail/measles","author":[{"literal":"World Health Organization"}],"issued":{"date-parts":[["2024"]]}}}],"schema":"https://github.com/citation-style-language/schema/raw/master/csl-citation.json"} </w:instrText>
      </w:r>
      <w:r w:rsidR="00A9607A">
        <w:rPr>
          <w:rFonts w:ascii="Times New Roman" w:hAnsi="Times New Roman" w:cs="Times New Roman"/>
          <w:sz w:val="24"/>
          <w:szCs w:val="24"/>
        </w:rPr>
        <w:fldChar w:fldCharType="separate"/>
      </w:r>
      <w:r w:rsidR="00A9607A" w:rsidRPr="00A9607A">
        <w:rPr>
          <w:rFonts w:ascii="Times New Roman" w:hAnsi="Times New Roman" w:cs="Times New Roman"/>
          <w:sz w:val="24"/>
        </w:rPr>
        <w:t>(1)</w:t>
      </w:r>
      <w:r w:rsidR="00A9607A">
        <w:rPr>
          <w:rFonts w:ascii="Times New Roman" w:hAnsi="Times New Roman" w:cs="Times New Roman"/>
          <w:sz w:val="24"/>
          <w:szCs w:val="24"/>
        </w:rPr>
        <w:fldChar w:fldCharType="end"/>
      </w:r>
      <w:r w:rsidR="00A9607A">
        <w:rPr>
          <w:rFonts w:ascii="Times New Roman" w:hAnsi="Times New Roman" w:cs="Times New Roman"/>
          <w:sz w:val="24"/>
          <w:szCs w:val="24"/>
        </w:rPr>
        <w:t>.</w:t>
      </w:r>
    </w:p>
    <w:p w14:paraId="11B4A688" w14:textId="77777777" w:rsidR="00FD2383" w:rsidRDefault="00FD2383" w:rsidP="0038502B">
      <w:pPr>
        <w:spacing w:line="480" w:lineRule="auto"/>
        <w:rPr>
          <w:rFonts w:ascii="Times New Roman" w:hAnsi="Times New Roman" w:cs="Times New Roman"/>
          <w:sz w:val="24"/>
          <w:szCs w:val="24"/>
        </w:rPr>
      </w:pPr>
    </w:p>
    <w:p w14:paraId="7CF45689" w14:textId="052258C8" w:rsidR="00E852EF" w:rsidRPr="0038502B" w:rsidRDefault="00E852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Global measles control efforts have achieved remarkable progress since the introduction of routine childhood immunization. Between 2000 and 2022, measles vaccination prevented an estimated 57 million deaths worldwide. However, disruptions in immunization services, vaccine hesitancy, population mobility, and weaknesses in health systems have contributed to recurring outbreaks in </w:t>
      </w:r>
      <w:r w:rsidRPr="0038502B">
        <w:rPr>
          <w:rFonts w:ascii="Times New Roman" w:hAnsi="Times New Roman" w:cs="Times New Roman"/>
          <w:sz w:val="24"/>
          <w:szCs w:val="24"/>
        </w:rPr>
        <w:lastRenderedPageBreak/>
        <w:t xml:space="preserve">many countries. In 2023, approximately 10.3 million measles cases were reported globally, representing an increase from previous years and highlighting persistent immunity gaps </w:t>
      </w:r>
      <w:r w:rsidR="00A9607A">
        <w:rPr>
          <w:rFonts w:ascii="Times New Roman" w:hAnsi="Times New Roman" w:cs="Times New Roman"/>
          <w:sz w:val="24"/>
          <w:szCs w:val="24"/>
        </w:rPr>
        <w:fldChar w:fldCharType="begin"/>
      </w:r>
      <w:r w:rsidR="00A9607A">
        <w:rPr>
          <w:rFonts w:ascii="Times New Roman" w:hAnsi="Times New Roman" w:cs="Times New Roman"/>
          <w:sz w:val="24"/>
          <w:szCs w:val="24"/>
        </w:rPr>
        <w:instrText xml:space="preserve"> ADDIN ZOTERO_ITEM CSL_CITATION {"citationID":"TSgyAfhs","properties":{"unsorted":false,"formattedCitation":"(2)","plainCitation":"(2)","noteIndex":0},"citationItems":[{"id":24089,"uris":["http://zotero.org/users/6223522/items/IWX4PRV2"],"itemData":{"id":24089,"type":"webpage","title":"Global Measles Outbreaks","URL":"https://www.cdc.gov/measles/outbreaks.html","author":[{"literal":"Centers for Disease Control and Prevention"}],"issued":{"date-parts":[["2024"]]}}}],"schema":"https://github.com/citation-style-language/schema/raw/master/csl-citation.json"} </w:instrText>
      </w:r>
      <w:r w:rsidR="00A9607A">
        <w:rPr>
          <w:rFonts w:ascii="Times New Roman" w:hAnsi="Times New Roman" w:cs="Times New Roman"/>
          <w:sz w:val="24"/>
          <w:szCs w:val="24"/>
        </w:rPr>
        <w:fldChar w:fldCharType="separate"/>
      </w:r>
      <w:r w:rsidR="00A9607A" w:rsidRPr="00A9607A">
        <w:rPr>
          <w:rFonts w:ascii="Times New Roman" w:hAnsi="Times New Roman" w:cs="Times New Roman"/>
          <w:sz w:val="24"/>
        </w:rPr>
        <w:t>(2)</w:t>
      </w:r>
      <w:r w:rsidR="00A9607A">
        <w:rPr>
          <w:rFonts w:ascii="Times New Roman" w:hAnsi="Times New Roman" w:cs="Times New Roman"/>
          <w:sz w:val="24"/>
          <w:szCs w:val="24"/>
        </w:rPr>
        <w:fldChar w:fldCharType="end"/>
      </w:r>
      <w:r w:rsidRPr="0038502B">
        <w:rPr>
          <w:rFonts w:ascii="Times New Roman" w:hAnsi="Times New Roman" w:cs="Times New Roman"/>
          <w:sz w:val="24"/>
          <w:szCs w:val="24"/>
        </w:rPr>
        <w:t>.</w:t>
      </w:r>
    </w:p>
    <w:p w14:paraId="2E85E7CB" w14:textId="77777777" w:rsidR="00C1319C" w:rsidRPr="0038502B" w:rsidRDefault="00C1319C" w:rsidP="0038502B">
      <w:pPr>
        <w:spacing w:line="480" w:lineRule="auto"/>
        <w:rPr>
          <w:rFonts w:ascii="Times New Roman" w:hAnsi="Times New Roman" w:cs="Times New Roman"/>
          <w:sz w:val="24"/>
          <w:szCs w:val="24"/>
        </w:rPr>
      </w:pPr>
    </w:p>
    <w:p w14:paraId="44A8B3A7" w14:textId="0B9F240C" w:rsidR="00E852EF" w:rsidRPr="0038502B" w:rsidRDefault="00E852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The African Region continues to</w:t>
      </w:r>
      <w:r w:rsidR="00A80C14" w:rsidRPr="0038502B">
        <w:rPr>
          <w:rFonts w:ascii="Times New Roman" w:hAnsi="Times New Roman" w:cs="Times New Roman"/>
          <w:sz w:val="24"/>
          <w:szCs w:val="24"/>
        </w:rPr>
        <w:t xml:space="preserve"> experience a substantially</w:t>
      </w:r>
      <w:r w:rsidRPr="0038502B">
        <w:rPr>
          <w:rFonts w:ascii="Times New Roman" w:hAnsi="Times New Roman" w:cs="Times New Roman"/>
          <w:sz w:val="24"/>
          <w:szCs w:val="24"/>
        </w:rPr>
        <w:t xml:space="preserve"> high burden of measles. WHO estimates indicate that measles incidence increased from 69.2 cases per million population in 2017 to 81.9 cases per million population in 2021. Several countries in sub-Saharan Africa have reported large outbreaks despite achieving relatively high administrative vaccination coverage, suggesting that reported vaccine uptake may not accurately reflect population immunity </w:t>
      </w:r>
      <w:r w:rsidR="00A9607A">
        <w:rPr>
          <w:rFonts w:ascii="Times New Roman" w:hAnsi="Times New Roman" w:cs="Times New Roman"/>
          <w:sz w:val="24"/>
          <w:szCs w:val="24"/>
        </w:rPr>
        <w:fldChar w:fldCharType="begin"/>
      </w:r>
      <w:r w:rsidR="00A9607A">
        <w:rPr>
          <w:rFonts w:ascii="Times New Roman" w:hAnsi="Times New Roman" w:cs="Times New Roman"/>
          <w:sz w:val="24"/>
          <w:szCs w:val="24"/>
        </w:rPr>
        <w:instrText xml:space="preserve"> ADDIN ZOTERO_ITEM CSL_CITATION {"citationID":"9RLz0PkZ","properties":{"unsorted":false,"formattedCitation":"(3)","plainCitation":"(3)","noteIndex":0},"citationItems":[{"id":24073,"uris":["http://zotero.org/users/6223522/items/Q6FK6C78"],"itemData":{"id":24073,"type":"article-journal","container-title":"Morbidity and Mortality Weekly Report","DOI":"10.15585/mmwr.mm7345a4","issue":"45","page":"1036-1042","title":"Progress Toward Measles Elimination — Worldwide, 2000–2023","volume":"73","author":[{"family":"Minta","given":"A. A."},{"family":"Ferrari","given":"M."},{"family":"Antoni","given":"S."},{"family":"Lambert","given":"B."},{"family":"Sayi","given":"T. S."},{"family":"Hsu","given":"C. H."},{"family":"Steulet","given":"C."},{"family":"Gacic-Dobo","given":"M."},{"family":"Rota","given":"P. A."},{"family":"Mulders","given":"M."},{"family":"Wimmer","given":"A."},{"family":"Bose","given":"A."},{"family":"O'Connor","given":"P."},{"family":"Crowcroft","given":"N."}],"issued":{"date-parts":[["2024"]]}}}],"schema":"https://github.com/citation-style-language/schema/raw/master/csl-citation.json"} </w:instrText>
      </w:r>
      <w:r w:rsidR="00A9607A">
        <w:rPr>
          <w:rFonts w:ascii="Times New Roman" w:hAnsi="Times New Roman" w:cs="Times New Roman"/>
          <w:sz w:val="24"/>
          <w:szCs w:val="24"/>
        </w:rPr>
        <w:fldChar w:fldCharType="separate"/>
      </w:r>
      <w:r w:rsidR="00A9607A" w:rsidRPr="00A9607A">
        <w:rPr>
          <w:rFonts w:ascii="Times New Roman" w:hAnsi="Times New Roman" w:cs="Times New Roman"/>
          <w:sz w:val="24"/>
        </w:rPr>
        <w:t>(3)</w:t>
      </w:r>
      <w:r w:rsidR="00A9607A">
        <w:rPr>
          <w:rFonts w:ascii="Times New Roman" w:hAnsi="Times New Roman" w:cs="Times New Roman"/>
          <w:sz w:val="24"/>
          <w:szCs w:val="24"/>
        </w:rPr>
        <w:fldChar w:fldCharType="end"/>
      </w:r>
      <w:r w:rsidRPr="0038502B">
        <w:rPr>
          <w:rFonts w:ascii="Times New Roman" w:hAnsi="Times New Roman" w:cs="Times New Roman"/>
          <w:sz w:val="24"/>
          <w:szCs w:val="24"/>
        </w:rPr>
        <w:t>.</w:t>
      </w:r>
    </w:p>
    <w:p w14:paraId="02F8A1C3" w14:textId="77777777" w:rsidR="00FD2383" w:rsidRDefault="00FD2383" w:rsidP="0038502B">
      <w:pPr>
        <w:spacing w:line="480" w:lineRule="auto"/>
        <w:rPr>
          <w:rFonts w:ascii="Times New Roman" w:hAnsi="Times New Roman" w:cs="Times New Roman"/>
          <w:sz w:val="24"/>
          <w:szCs w:val="24"/>
        </w:rPr>
      </w:pPr>
    </w:p>
    <w:p w14:paraId="20178F91" w14:textId="32871335" w:rsidR="00C1319C" w:rsidRPr="0038502B" w:rsidRDefault="00E852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Serological surveys provide an important means of assessing immunity within populations. Unlike administrative vaccination records, seroprevalence studies directly measure the presence of protective antibodies and therefore provide a more accurate estimate of population susceptibility. Such studies help identify immunity gaps, assess vaccine effectiveness, evaluate the success of immunization programmes, and guide supplementary immunization activities </w:t>
      </w:r>
      <w:r w:rsidR="00A9607A">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UgrWLfTD","properties":{"unsorted":false,"formattedCitation":"(4)","plainCitation":"(4)","noteIndex":0},"citationItems":[{"id":24079,"uris":["http://zotero.org/users/6223522/items/PQFSZ3KU"],"itemData":{"id":24079,"type":"article-journal","container-title":"Vaccines","DOI":"10.3390/vaccines12060585","issue":"6","page":"585","title":"Evaluating Scope and Bias of Population-Level Measles Serosurveys: A Systematized Review and Bias Assessment","volume":"12","author":[{"family":"Sbarra","given":"A. N."},{"family":"Cutts","given":"F. T."},{"family":"Fu","given":"H."},{"family":"Poudyal","given":"I."},{"family":"Rhoda","given":"D."},{"family":"Mosser","given":"J."},{"family":"Jit","given":"M."}],"issued":{"date-parts":[["2024"]]}}}],"schema":"https://github.com/citation-style-language/schema/raw/master/csl-citation.json"} </w:instrText>
      </w:r>
      <w:r w:rsidR="00A9607A">
        <w:rPr>
          <w:rFonts w:ascii="Times New Roman" w:hAnsi="Times New Roman" w:cs="Times New Roman"/>
          <w:sz w:val="24"/>
          <w:szCs w:val="24"/>
        </w:rPr>
        <w:fldChar w:fldCharType="separate"/>
      </w:r>
      <w:r w:rsidR="008F4B71" w:rsidRPr="008F4B71">
        <w:rPr>
          <w:rFonts w:ascii="Times New Roman" w:hAnsi="Times New Roman" w:cs="Times New Roman"/>
          <w:sz w:val="24"/>
        </w:rPr>
        <w:t>(4)</w:t>
      </w:r>
      <w:r w:rsidR="00A9607A">
        <w:rPr>
          <w:rFonts w:ascii="Times New Roman" w:hAnsi="Times New Roman" w:cs="Times New Roman"/>
          <w:sz w:val="24"/>
          <w:szCs w:val="24"/>
        </w:rPr>
        <w:fldChar w:fldCharType="end"/>
      </w:r>
    </w:p>
    <w:p w14:paraId="68417735" w14:textId="77777777" w:rsidR="00FD2383" w:rsidRDefault="00FD2383" w:rsidP="0038502B">
      <w:pPr>
        <w:spacing w:line="480" w:lineRule="auto"/>
        <w:rPr>
          <w:rFonts w:ascii="Times New Roman" w:hAnsi="Times New Roman" w:cs="Times New Roman"/>
          <w:sz w:val="24"/>
          <w:szCs w:val="24"/>
        </w:rPr>
      </w:pPr>
    </w:p>
    <w:p w14:paraId="180BFFEB" w14:textId="1B5A0A15" w:rsidR="00E852EF" w:rsidRPr="0038502B" w:rsidRDefault="00E852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Malawi has made substantial progress in expanding immunization coverage through the Expanded Programme on Immunization (EPI). The country introduced routine measles vaccination in 1979 and subsequently adopted a two-dose measles-containing vaccine schedule. Despite these efforts, Malawi continues to experience periodic measles outbreaks, indicating possible gaps in population immunity. Recent outbreaks have been reported in districts including Lilongwe, Mchinji, and Mangochi, raising concerns regarding the effectiveness and sustainability of measles control interventions.</w:t>
      </w:r>
    </w:p>
    <w:p w14:paraId="5B90601D" w14:textId="77777777" w:rsidR="00C1319C" w:rsidRPr="0038502B" w:rsidRDefault="00C1319C" w:rsidP="0038502B">
      <w:pPr>
        <w:spacing w:line="480" w:lineRule="auto"/>
        <w:rPr>
          <w:rFonts w:ascii="Times New Roman" w:hAnsi="Times New Roman" w:cs="Times New Roman"/>
          <w:sz w:val="24"/>
          <w:szCs w:val="24"/>
        </w:rPr>
      </w:pPr>
    </w:p>
    <w:p w14:paraId="1F65A6BA" w14:textId="685FEDF5" w:rsidR="00E852EF" w:rsidRPr="0038502B" w:rsidRDefault="00E852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lastRenderedPageBreak/>
        <w:t xml:space="preserve">Available evidence on measles immunity in Malawi remains limited. A seroprevalence study conducted in Chiradzulu District reported that 91.9% of participants possessed protective measles antibodies; however, the study was geographically limited and focused primarily on HIV-infected and non-HIV-infected populations attending health facilities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5JtII0vf","properties":{"unsorted":false,"formattedCitation":"(5)","plainCitation":"(5)","noteIndex":0},"citationItems":[{"id":24097,"uris":["http://zotero.org/users/6223522/items/YIHPPR4J"],"itemData":{"id":24097,"type":"article-journal","container-title":"Vaccine","DOI":"10.1016/j.vaccine.2015.07.017","issue":"36","page":"4554-4558","title":"Measles seroprevalence in Chiradzulu district, Malawi","volume":"33","author":[{"family":"Polonsky","given":"J. A."},{"family":"Bhat","given":"N."},{"family":"Kallander","given":"K."},{"family":"Mtema","given":"Z."},{"family":"Kachur","given":"S. P."},{"family":"Parry","given":"A. E."},{"family":"Sikyoma","given":"C."},{"family":"Nkwane","given":"P."},{"family":"Ngwira","given":"B."},{"family":"Gudo","given":"E. S."},{"family":"Bruzzese","given":"V."},{"family":"Smit","given":"E."},{"family":"Mwale","given":"T."},{"family":"Kiyungu","given":"C."},{"family":"Kachaka","given":"W."},{"family":"Nanyunja","given":"M."},{"family":"Widdowson","given":"M. A."},{"family":"Perry","given":"R. T."}],"issued":{"date-parts":[["2015"]]}}}],"schema":"https://github.com/citation-style-language/schema/raw/master/csl-citation.json"}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(5)</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 xml:space="preserve">. Consequently, there remains a lack of nationally representative data on measles antibody prevalence and </w:t>
      </w:r>
      <w:r w:rsidR="00A80C14" w:rsidRPr="0038502B">
        <w:rPr>
          <w:rFonts w:ascii="Times New Roman" w:hAnsi="Times New Roman" w:cs="Times New Roman"/>
          <w:sz w:val="24"/>
          <w:szCs w:val="24"/>
        </w:rPr>
        <w:t xml:space="preserve">its </w:t>
      </w:r>
      <w:r w:rsidRPr="0038502B">
        <w:rPr>
          <w:rFonts w:ascii="Times New Roman" w:hAnsi="Times New Roman" w:cs="Times New Roman"/>
          <w:sz w:val="24"/>
          <w:szCs w:val="24"/>
        </w:rPr>
        <w:t>associated factors.</w:t>
      </w:r>
    </w:p>
    <w:p w14:paraId="1B51E3E9" w14:textId="77777777" w:rsidR="00C1319C" w:rsidRPr="0038502B" w:rsidRDefault="00C1319C" w:rsidP="0038502B">
      <w:pPr>
        <w:spacing w:line="480" w:lineRule="auto"/>
        <w:rPr>
          <w:rFonts w:ascii="Times New Roman" w:hAnsi="Times New Roman" w:cs="Times New Roman"/>
          <w:sz w:val="24"/>
          <w:szCs w:val="24"/>
        </w:rPr>
      </w:pPr>
    </w:p>
    <w:p w14:paraId="19B9E492" w14:textId="4CC421CF" w:rsidR="00E852EF" w:rsidRPr="0038502B" w:rsidRDefault="00E852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This study seeks to address this knowledge gap by determining the seroprevalence of measles antibodies and identifying associated factors using nationally available surveillance and laboratory data collected between 2023 and 2024. Findings from this study will provide critical evidence for strengthening measles elimination efforts in Malawi.</w:t>
      </w:r>
    </w:p>
    <w:p w14:paraId="50E5213F" w14:textId="77777777" w:rsidR="00C1319C" w:rsidRPr="0038502B" w:rsidRDefault="00C1319C" w:rsidP="0038502B">
      <w:pPr>
        <w:spacing w:line="480" w:lineRule="auto"/>
        <w:rPr>
          <w:rFonts w:ascii="Times New Roman" w:hAnsi="Times New Roman" w:cs="Times New Roman"/>
          <w:b/>
          <w:bCs/>
          <w:sz w:val="24"/>
          <w:szCs w:val="24"/>
        </w:rPr>
      </w:pPr>
    </w:p>
    <w:p w14:paraId="0B8274F5" w14:textId="7E227ECF" w:rsidR="00A80C14" w:rsidRPr="0038502B" w:rsidRDefault="00C1319C" w:rsidP="0038502B">
      <w:pPr>
        <w:pStyle w:val="Heading2"/>
      </w:pPr>
      <w:bookmarkStart w:id="20" w:name="_Toc232844523"/>
      <w:bookmarkStart w:id="21" w:name="_Toc232850308"/>
      <w:r w:rsidRPr="0038502B">
        <w:t>Statement of the Problem</w:t>
      </w:r>
      <w:bookmarkEnd w:id="20"/>
      <w:bookmarkEnd w:id="21"/>
    </w:p>
    <w:p w14:paraId="26CD8C29" w14:textId="77777777" w:rsidR="00A80C14" w:rsidRPr="0038502B" w:rsidRDefault="00A80C1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Although measles vaccination coverage in Malawi has remained relatively high over recent years, outbreaks continue to occur across several districts. The occurrence of these outbreaks suggests the presence of susceptible populations despite routine vaccination programme.</w:t>
      </w:r>
    </w:p>
    <w:p w14:paraId="3D87F13B" w14:textId="77777777" w:rsidR="00C1319C" w:rsidRPr="0038502B" w:rsidRDefault="00C1319C" w:rsidP="0038502B">
      <w:pPr>
        <w:spacing w:line="480" w:lineRule="auto"/>
        <w:rPr>
          <w:rFonts w:ascii="Times New Roman" w:hAnsi="Times New Roman" w:cs="Times New Roman"/>
          <w:sz w:val="24"/>
          <w:szCs w:val="24"/>
        </w:rPr>
      </w:pPr>
    </w:p>
    <w:p w14:paraId="3686BA5E" w14:textId="46336A75" w:rsidR="00A80C14" w:rsidRPr="0038502B" w:rsidRDefault="00A80C1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Current national surveillance systems primarily rely on vaccination coverage estimates and laboratory-confirmed cases to monitor measles control. However, vaccination coverage does not necessarily equate to population immunity because factors such as vaccine failure, waning immunity, cold chain interruptions, and inaccurate reporting can influence actual protection levels.</w:t>
      </w:r>
    </w:p>
    <w:p w14:paraId="6D777896" w14:textId="77777777" w:rsidR="00FD2383" w:rsidRDefault="00FD2383" w:rsidP="0038502B">
      <w:pPr>
        <w:spacing w:line="480" w:lineRule="auto"/>
        <w:rPr>
          <w:rFonts w:ascii="Times New Roman" w:hAnsi="Times New Roman" w:cs="Times New Roman"/>
          <w:sz w:val="24"/>
          <w:szCs w:val="24"/>
        </w:rPr>
      </w:pPr>
    </w:p>
    <w:p w14:paraId="69A867D6" w14:textId="5EDA0826" w:rsidR="00A80C14" w:rsidRPr="0038502B" w:rsidRDefault="00A80C1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Furthermore, there is limited national evidence regarding the seroprevalence of measles antibodies among populations in Malawi. The only published serological study was conducted more than a </w:t>
      </w:r>
      <w:r w:rsidRPr="0038502B">
        <w:rPr>
          <w:rFonts w:ascii="Times New Roman" w:hAnsi="Times New Roman" w:cs="Times New Roman"/>
          <w:sz w:val="24"/>
          <w:szCs w:val="24"/>
        </w:rPr>
        <w:lastRenderedPageBreak/>
        <w:t>decade ago in a single district and may not reflect the current national immunity profile. Without current serological evidence, policymakers may be unable to accurately identify immunity gaps or optimize vaccination strategies.</w:t>
      </w:r>
    </w:p>
    <w:p w14:paraId="04A84388" w14:textId="77777777" w:rsidR="00C1319C" w:rsidRPr="0038502B" w:rsidRDefault="00C1319C" w:rsidP="0038502B">
      <w:pPr>
        <w:spacing w:line="480" w:lineRule="auto"/>
        <w:rPr>
          <w:rFonts w:ascii="Times New Roman" w:hAnsi="Times New Roman" w:cs="Times New Roman"/>
          <w:sz w:val="24"/>
          <w:szCs w:val="24"/>
        </w:rPr>
      </w:pPr>
    </w:p>
    <w:p w14:paraId="7CA465B7" w14:textId="0C67C975" w:rsidR="00A80C14" w:rsidRDefault="00A80C1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Therefore, there is a need for a national assessment of measles antibody seroprevalence and associated factors to support evidence-based immunization policies and strengthen progress toward measles elimination in Malawi.</w:t>
      </w:r>
    </w:p>
    <w:p w14:paraId="0A806E27" w14:textId="77777777" w:rsidR="00FD2383" w:rsidRPr="0038502B" w:rsidRDefault="00FD2383" w:rsidP="0038502B">
      <w:pPr>
        <w:spacing w:line="480" w:lineRule="auto"/>
        <w:rPr>
          <w:rFonts w:ascii="Times New Roman" w:hAnsi="Times New Roman" w:cs="Times New Roman"/>
          <w:sz w:val="24"/>
          <w:szCs w:val="24"/>
        </w:rPr>
      </w:pPr>
    </w:p>
    <w:p w14:paraId="30AC0411" w14:textId="77777777" w:rsidR="00CA7804" w:rsidRPr="0038502B" w:rsidRDefault="00CA7804" w:rsidP="0038502B">
      <w:pPr>
        <w:pStyle w:val="Heading2"/>
        <w:rPr>
          <w:rFonts w:eastAsia="Times New Roman"/>
        </w:rPr>
      </w:pPr>
      <w:bookmarkStart w:id="22" w:name="_Toc232844524"/>
      <w:bookmarkStart w:id="23" w:name="_Toc232850309"/>
      <w:r w:rsidRPr="0038502B">
        <w:t>Literature Review</w:t>
      </w:r>
      <w:bookmarkEnd w:id="22"/>
      <w:bookmarkEnd w:id="23"/>
    </w:p>
    <w:p w14:paraId="5224D91D" w14:textId="2F25C507" w:rsidR="00CA7804" w:rsidRPr="0038502B" w:rsidRDefault="00CA7804" w:rsidP="0038502B">
      <w:pPr>
        <w:spacing w:before="100" w:beforeAutospacing="1" w:after="100" w:afterAutospacing="1" w:line="480" w:lineRule="auto"/>
        <w:rPr>
          <w:rFonts w:ascii="Times New Roman" w:eastAsia="Times New Roman" w:hAnsi="Times New Roman" w:cs="Times New Roman"/>
          <w:b/>
          <w:bCs/>
          <w:sz w:val="24"/>
          <w:szCs w:val="24"/>
        </w:rPr>
      </w:pPr>
      <w:r w:rsidRPr="0038502B">
        <w:rPr>
          <w:rFonts w:ascii="Times New Roman" w:eastAsia="Times New Roman" w:hAnsi="Times New Roman" w:cs="Times New Roman"/>
          <w:b/>
          <w:bCs/>
          <w:sz w:val="24"/>
          <w:szCs w:val="24"/>
        </w:rPr>
        <w:t>Global Burden of Measles</w:t>
      </w:r>
    </w:p>
    <w:p w14:paraId="6AAA1EAD" w14:textId="77777777" w:rsidR="00CA7804" w:rsidRPr="0038502B" w:rsidRDefault="00CA7804" w:rsidP="0038502B">
      <w:p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Before widespread vaccination, measles caused an estimated 2.6 million deaths annually worldwide. Following introduction of measles vaccination programmes, substantial reductions in morbidity and mortality were achieved.</w:t>
      </w:r>
    </w:p>
    <w:p w14:paraId="1B67B754" w14:textId="119E6E01" w:rsidR="00CA7804" w:rsidRPr="0038502B" w:rsidRDefault="00CA7804" w:rsidP="0038502B">
      <w:p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 xml:space="preserve">However, WHO reported approximately 10.3 million measles cases globally in 2023, representing a resurgence driven by disruptions in routine immunization services and declining vaccine coverage. Children younger than five years remain the most affected group </w:t>
      </w:r>
      <w:r w:rsidR="008F4B71">
        <w:rPr>
          <w:rFonts w:ascii="Times New Roman" w:eastAsia="Times New Roman" w:hAnsi="Times New Roman" w:cs="Times New Roman"/>
          <w:sz w:val="24"/>
          <w:szCs w:val="24"/>
        </w:rPr>
        <w:fldChar w:fldCharType="begin"/>
      </w:r>
      <w:r w:rsidR="008F4B71">
        <w:rPr>
          <w:rFonts w:ascii="Times New Roman" w:eastAsia="Times New Roman" w:hAnsi="Times New Roman" w:cs="Times New Roman"/>
          <w:sz w:val="24"/>
          <w:szCs w:val="24"/>
        </w:rPr>
        <w:instrText xml:space="preserve"> ADDIN ZOTERO_ITEM CSL_CITATION {"citationID":"h9DAgARQ","properties":{"unsorted":false,"formattedCitation":"(6)","plainCitation":"(6)","noteIndex":0},"citationItems":[{"id":16090,"uris":["http://zotero.org/users/6223522/items/L4KQCQQF"],"itemData":{"id":16090,"type":"document","publisher":"World Health Organization","title":"Water, sanitation, hygiene, and waste management for the COVID-19 virus","URL":"https://apps.who.int/iris/bitstream/handle/10665/331846/WHO-2019-nCoV-IPC_WASH-2020.3-eng.pdf?utm_source=chatgpt.com","author":[{"family":"WHO","given":""}],"issued":{"date-parts":[["2020"]]}}}],"schema":"https://github.com/citation-style-language/schema/raw/master/csl-citation.json"} </w:instrText>
      </w:r>
      <w:r w:rsidR="008F4B71">
        <w:rPr>
          <w:rFonts w:ascii="Times New Roman" w:eastAsia="Times New Roman" w:hAnsi="Times New Roman" w:cs="Times New Roman"/>
          <w:sz w:val="24"/>
          <w:szCs w:val="24"/>
        </w:rPr>
        <w:fldChar w:fldCharType="separate"/>
      </w:r>
      <w:r w:rsidR="008F4B71" w:rsidRPr="008F4B71">
        <w:rPr>
          <w:rFonts w:ascii="Times New Roman" w:hAnsi="Times New Roman" w:cs="Times New Roman"/>
          <w:sz w:val="24"/>
        </w:rPr>
        <w:t>(6)</w:t>
      </w:r>
      <w:r w:rsidR="008F4B71">
        <w:rPr>
          <w:rFonts w:ascii="Times New Roman" w:eastAsia="Times New Roman" w:hAnsi="Times New Roman" w:cs="Times New Roman"/>
          <w:sz w:val="24"/>
          <w:szCs w:val="24"/>
        </w:rPr>
        <w:fldChar w:fldCharType="end"/>
      </w:r>
      <w:r w:rsidRPr="0038502B">
        <w:rPr>
          <w:rFonts w:ascii="Times New Roman" w:eastAsia="Times New Roman" w:hAnsi="Times New Roman" w:cs="Times New Roman"/>
          <w:sz w:val="24"/>
          <w:szCs w:val="24"/>
        </w:rPr>
        <w:t>.</w:t>
      </w:r>
    </w:p>
    <w:p w14:paraId="74F0DB3E" w14:textId="77777777" w:rsidR="00CA7804" w:rsidRPr="0038502B" w:rsidRDefault="00CA7804" w:rsidP="0038502B">
      <w:p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Recent outbreaks have been reported in Europe, North America, Asia, and Africa despite availability of highly effective vaccines, demonstrating that elimination requires sustained high levels of population immunity.</w:t>
      </w:r>
    </w:p>
    <w:p w14:paraId="5717CF89" w14:textId="114376FB" w:rsidR="00CA7804" w:rsidRPr="0038502B" w:rsidRDefault="00FD2383" w:rsidP="0038502B">
      <w:pPr>
        <w:spacing w:before="100" w:beforeAutospacing="1" w:after="100" w:afterAutospacing="1" w:line="480" w:lineRule="auto"/>
        <w:rPr>
          <w:rFonts w:ascii="Times New Roman" w:eastAsia="Times New Roman" w:hAnsi="Times New Roman" w:cs="Times New Roman"/>
          <w:b/>
          <w:sz w:val="24"/>
          <w:szCs w:val="24"/>
        </w:rPr>
      </w:pPr>
      <w:r w:rsidRPr="0038502B">
        <w:rPr>
          <w:rFonts w:ascii="Times New Roman" w:eastAsia="Times New Roman" w:hAnsi="Times New Roman" w:cs="Times New Roman"/>
          <w:b/>
          <w:sz w:val="24"/>
          <w:szCs w:val="24"/>
        </w:rPr>
        <w:t>Measles immunity</w:t>
      </w:r>
    </w:p>
    <w:p w14:paraId="478197E8" w14:textId="77777777" w:rsidR="00CA7804" w:rsidRPr="0038502B" w:rsidRDefault="00CA780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Measles immunity may be acquired through:</w:t>
      </w:r>
    </w:p>
    <w:p w14:paraId="51AD70A7" w14:textId="77777777" w:rsidR="00CA7804" w:rsidRPr="0038502B" w:rsidRDefault="00CA7804">
      <w:pPr>
        <w:numPr>
          <w:ilvl w:val="0"/>
          <w:numId w:val="3"/>
        </w:numPr>
        <w:spacing w:line="480" w:lineRule="auto"/>
        <w:rPr>
          <w:rFonts w:ascii="Times New Roman" w:hAnsi="Times New Roman" w:cs="Times New Roman"/>
          <w:sz w:val="24"/>
          <w:szCs w:val="24"/>
        </w:rPr>
      </w:pPr>
      <w:r w:rsidRPr="0038502B">
        <w:rPr>
          <w:rFonts w:ascii="Times New Roman" w:hAnsi="Times New Roman" w:cs="Times New Roman"/>
          <w:sz w:val="24"/>
          <w:szCs w:val="24"/>
        </w:rPr>
        <w:lastRenderedPageBreak/>
        <w:t xml:space="preserve">Natural infection </w:t>
      </w:r>
    </w:p>
    <w:p w14:paraId="05C79A8D" w14:textId="77777777" w:rsidR="00CA7804" w:rsidRPr="0038502B" w:rsidRDefault="00CA7804">
      <w:pPr>
        <w:numPr>
          <w:ilvl w:val="0"/>
          <w:numId w:val="3"/>
        </w:num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Vaccination </w:t>
      </w:r>
    </w:p>
    <w:p w14:paraId="5580CB91" w14:textId="77777777" w:rsidR="00CA7804" w:rsidRDefault="00CA7804" w:rsidP="0038502B">
      <w:pPr>
        <w:spacing w:line="480" w:lineRule="auto"/>
        <w:ind w:firstLine="360"/>
        <w:rPr>
          <w:rFonts w:ascii="Times New Roman" w:hAnsi="Times New Roman" w:cs="Times New Roman"/>
          <w:sz w:val="24"/>
          <w:szCs w:val="24"/>
        </w:rPr>
      </w:pPr>
      <w:r w:rsidRPr="0038502B">
        <w:rPr>
          <w:rFonts w:ascii="Times New Roman" w:hAnsi="Times New Roman" w:cs="Times New Roman"/>
          <w:sz w:val="24"/>
          <w:szCs w:val="24"/>
        </w:rPr>
        <w:t>The presence of measles-specific IgG antibodies is considered a reliable marker of immunity</w:t>
      </w:r>
    </w:p>
    <w:p w14:paraId="5B5A0FF1" w14:textId="77777777" w:rsidR="00FD2383" w:rsidRPr="0038502B" w:rsidRDefault="00FD2383" w:rsidP="0038502B">
      <w:pPr>
        <w:spacing w:line="480" w:lineRule="auto"/>
        <w:ind w:firstLine="360"/>
        <w:rPr>
          <w:rFonts w:ascii="Times New Roman" w:hAnsi="Times New Roman" w:cs="Times New Roman"/>
          <w:sz w:val="24"/>
          <w:szCs w:val="24"/>
        </w:rPr>
      </w:pPr>
    </w:p>
    <w:p w14:paraId="490E6A4B" w14:textId="77777777" w:rsidR="00CA7804" w:rsidRPr="0038502B" w:rsidRDefault="00CA7804" w:rsidP="0038502B">
      <w:pPr>
        <w:spacing w:line="480" w:lineRule="auto"/>
        <w:rPr>
          <w:rFonts w:ascii="Times New Roman" w:hAnsi="Times New Roman" w:cs="Times New Roman"/>
          <w:b/>
          <w:bCs/>
          <w:sz w:val="24"/>
          <w:szCs w:val="24"/>
        </w:rPr>
      </w:pPr>
      <w:r w:rsidRPr="0038502B">
        <w:rPr>
          <w:rFonts w:ascii="Times New Roman" w:hAnsi="Times New Roman" w:cs="Times New Roman"/>
          <w:b/>
          <w:bCs/>
          <w:sz w:val="24"/>
          <w:szCs w:val="24"/>
        </w:rPr>
        <w:t>Global Evidence on Measles Seroprevalence</w:t>
      </w:r>
    </w:p>
    <w:p w14:paraId="4910994F" w14:textId="3BC47C32" w:rsidR="00CA7804" w:rsidRPr="0038502B" w:rsidRDefault="00CA780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A national survey conducted in Mexico reported an overall seroprevalence of 99.37%, indicating successful maintenance of herd immunity through high vaccination coverage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wOiJvFbY","properties":{"unsorted":false,"formattedCitation":"(7)","plainCitation":"(7)","noteIndex":0},"citationItems":[{"id":24091,"uris":["http://zotero.org/users/6223522/items/7YYBEN8Y"],"itemData":{"id":24091,"type":"article-journal","container-title":"Scientific Reports","DOI":"10.1038/s41598-020-74434-9","page":"17488","title":"Seroprevalence of measles antibodies and factors associated with susceptibility","volume":"10","author":[{"family":"Díaz-Ortega","given":"J. L."},{"family":"Martínez-Valdez","given":"L."},{"family":"Casillas-Gutiérrez","given":"J. G."},{"family":"Luna-Cruz","given":"M."},{"family":"Velázquez-Monroy","given":"O."},{"family":"García-García","given":"L."}],"issued":{"date-parts":[["2020"]]}}}],"schema":"https://github.com/citation-style-language/schema/raw/master/csl-citation.json"}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(7)</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w:t>
      </w:r>
    </w:p>
    <w:p w14:paraId="1CD65247" w14:textId="710E1767" w:rsidR="00CA7804" w:rsidRDefault="00CA780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additionally, 37.6% of adults aged 20–44 years in the United States lacked protective measles antibodies despite documented vaccination histories</w:t>
      </w:r>
      <w:r w:rsidR="008F4B71">
        <w:rPr>
          <w:rFonts w:ascii="Times New Roman" w:hAnsi="Times New Roman" w:cs="Times New Roman"/>
          <w:sz w:val="24"/>
          <w:szCs w:val="24"/>
        </w:rPr>
        <w:t xml:space="preserve">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W9bIjiEA","properties":{"unsorted":false,"formattedCitation":"(8)","plainCitation":"(8)","noteIndex":0},"citationItems":[{"id":24099,"uris":["http://zotero.org/users/6223522/items/KYVFAIEK"],"itemData":{"id":24099,"type":"article-journal","container-title":"Vaccines","DOI":"10.3390/vaccines10111859","issue":"11","page":"1859","title":"Seroprevalence of Measles Antibodies in a Highly MMR-Vaccinated Population","volume":"10","author":[{"family":"Quach","given":"H. Q."},{"family":"Ovsyannikova","given":"I. G."},{"family":"Grill","given":"D. E."},{"family":"Warner","given":"N. D."},{"family":"Haralambieva","given":"I. H."},{"family":"Kennedy","given":"R. B."},{"family":"Poland","given":"G. A."}],"issued":{"date-parts":[["2022"]]}}}],"schema":"https://github.com/citation-style-language/schema/raw/master/csl-citation.json"}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(8)</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 The findings suggested that vaccine-induced immunity may wane over time. These studies also demonstrate that vaccination coverage alone may not accurately reflect immunity status.</w:t>
      </w:r>
    </w:p>
    <w:p w14:paraId="0978688F" w14:textId="77777777" w:rsidR="0038502B" w:rsidRPr="0038502B" w:rsidRDefault="0038502B" w:rsidP="0038502B">
      <w:pPr>
        <w:spacing w:line="480" w:lineRule="auto"/>
        <w:rPr>
          <w:rFonts w:ascii="Times New Roman" w:hAnsi="Times New Roman" w:cs="Times New Roman"/>
          <w:sz w:val="24"/>
          <w:szCs w:val="24"/>
        </w:rPr>
      </w:pPr>
    </w:p>
    <w:p w14:paraId="651F3AD1" w14:textId="77777777" w:rsidR="00CA7804" w:rsidRPr="0038502B" w:rsidRDefault="00CA7804" w:rsidP="0038502B">
      <w:pPr>
        <w:spacing w:line="480" w:lineRule="auto"/>
        <w:rPr>
          <w:rFonts w:ascii="Times New Roman" w:hAnsi="Times New Roman" w:cs="Times New Roman"/>
          <w:b/>
          <w:bCs/>
          <w:sz w:val="24"/>
          <w:szCs w:val="24"/>
        </w:rPr>
      </w:pPr>
      <w:r w:rsidRPr="0038502B">
        <w:rPr>
          <w:rFonts w:ascii="Times New Roman" w:hAnsi="Times New Roman" w:cs="Times New Roman"/>
          <w:b/>
          <w:bCs/>
          <w:sz w:val="24"/>
          <w:szCs w:val="24"/>
        </w:rPr>
        <w:t>Measles Seroprevalence in Low- and Middle-Income Countries</w:t>
      </w:r>
    </w:p>
    <w:p w14:paraId="7A2059A3" w14:textId="3BCA2B23" w:rsidR="00CA7804" w:rsidRPr="0038502B" w:rsidRDefault="00CA780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A systematic review and meta-analysis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{"citationID":"72GivDiZ","properties":{"unsorted":false,"formattedCitation":"(9)","plainCitation":"(9)","noteIndex":0},"citationItems":[{"id":24085,"uris":["http://zotero.org/users/6223522/items/XBWEJUMA"],"itemData":{"id":24085,"type":"article-journal","container-title":"BMC Public Health","DOI":"10.1186/s12889-022-14069-w","page":"1693","title":"Measles incidence in South Africa: a six-year review, 2015—2020","volume":"22","author":[{"family":"Yousif","given":"M."},{"family":"Hong","given":"H."},{"family":"Malfeld","given":"S."},{"family":"Smit","given":"S."},{"family":"Makhathin","given":"L."},{"family":"Motsamai","given":"T."},{"family":"Tselana","given":"D."},{"family":"Manamela","given":"M."},{"family":"Kamupira","given":"M."},{"family":"Maseti","given":"E."},{"family":"Otwombe","given":"K."},{"family":"McCarthy","given":"K."},{"family":"Suchard","given":"M."}],"issued":{"date-parts":[["2022"]]}}}],"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(9)</w:t>
      </w:r>
      <w:r w:rsidR="008F4B71">
        <w:rPr>
          <w:rFonts w:ascii="Times New Roman" w:hAnsi="Times New Roman" w:cs="Times New Roman"/>
          <w:sz w:val="24"/>
          <w:szCs w:val="24"/>
        </w:rPr>
        <w:fldChar w:fldCharType="end"/>
      </w:r>
      <w:r w:rsidR="008F4B71">
        <w:rPr>
          <w:rFonts w:ascii="Times New Roman" w:hAnsi="Times New Roman" w:cs="Times New Roman"/>
          <w:sz w:val="24"/>
          <w:szCs w:val="24"/>
        </w:rPr>
        <w:t xml:space="preserve"> </w:t>
      </w:r>
      <w:r w:rsidRPr="0038502B">
        <w:rPr>
          <w:rFonts w:ascii="Times New Roman" w:hAnsi="Times New Roman" w:cs="Times New Roman"/>
          <w:sz w:val="24"/>
          <w:szCs w:val="24"/>
        </w:rPr>
        <w:t>found that approximately 81% of infants in LMICs possessed maternal measles antibodies at birth. However, protection declined rapidly to approximately 30% by four months and 18% by seven months of age.</w:t>
      </w:r>
    </w:p>
    <w:p w14:paraId="461BA9C4" w14:textId="77777777" w:rsidR="00CA7804" w:rsidRPr="0038502B" w:rsidRDefault="00CA780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This decline creates a period of vulnerability before routine vaccination, increasing the risk of measles transmission among infants.</w:t>
      </w:r>
    </w:p>
    <w:p w14:paraId="2CA81E57" w14:textId="77777777" w:rsidR="00FD2383" w:rsidRDefault="00FD2383" w:rsidP="0038502B">
      <w:pPr>
        <w:spacing w:line="480" w:lineRule="auto"/>
        <w:rPr>
          <w:rFonts w:ascii="Times New Roman" w:hAnsi="Times New Roman" w:cs="Times New Roman"/>
          <w:sz w:val="24"/>
          <w:szCs w:val="24"/>
        </w:rPr>
      </w:pPr>
    </w:p>
    <w:p w14:paraId="2E4C9F3E" w14:textId="2922872A" w:rsidR="00CA7804" w:rsidRPr="0038502B" w:rsidRDefault="00CA780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Another systematic review found a median measles seroprevalence of 84% across LMICs</w:t>
      </w:r>
      <w:r w:rsidR="008F4B71">
        <w:rPr>
          <w:rFonts w:ascii="Times New Roman" w:hAnsi="Times New Roman" w:cs="Times New Roman"/>
          <w:sz w:val="24"/>
          <w:szCs w:val="24"/>
        </w:rPr>
        <w:t xml:space="preserve">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rYyoVfhr","properties":{"unsorted":false,"formattedCitation":"(10)","plainCitation":"(10)","noteIndex":0},"citationItems":[{"id":24101,"uris":["http://zotero.org/users/6223522/items/PQWR23AX"],"itemData":{"id":24101,"type":"article-journal","container-title":"Vaccines","DOI":"10.3390/vaccines12060585","issue":"6","page":"585","title":"Evaluating Scope and Bias of Population-Level Measles Serosurveys","volume":"12","author":[{"family":"Sbarra","given":"A. N."},{"family":"Cutts","given":"F. T."},{"family":"Fu","given":"H."},{"family":"Poudyal","given":"I."},{"family":"Rhoda","given":"D."},{"family":"Mosser","given":"J."},{"family":"Jit","given":"M."}],"issued":{"date-parts":[["2024"]]}}}],"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(10)</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 The review highlighted substantial heterogeneity and methodological limitations among studies, emphasizing the need for standardized serological assessments.</w:t>
      </w:r>
    </w:p>
    <w:p w14:paraId="72E615D6" w14:textId="77777777" w:rsidR="0038502B" w:rsidRDefault="0038502B" w:rsidP="0038502B">
      <w:pPr>
        <w:spacing w:line="480" w:lineRule="auto"/>
        <w:rPr>
          <w:rFonts w:ascii="Times New Roman" w:hAnsi="Times New Roman" w:cs="Times New Roman"/>
          <w:b/>
          <w:bCs/>
          <w:sz w:val="24"/>
          <w:szCs w:val="24"/>
        </w:rPr>
      </w:pPr>
    </w:p>
    <w:p w14:paraId="4C85DB99" w14:textId="6B4FE3E1" w:rsidR="00CA7804" w:rsidRPr="0038502B" w:rsidRDefault="00CA7804" w:rsidP="0038502B">
      <w:pPr>
        <w:spacing w:line="480" w:lineRule="auto"/>
        <w:rPr>
          <w:rFonts w:ascii="Times New Roman" w:hAnsi="Times New Roman" w:cs="Times New Roman"/>
          <w:b/>
          <w:bCs/>
          <w:sz w:val="24"/>
          <w:szCs w:val="24"/>
        </w:rPr>
      </w:pPr>
      <w:r w:rsidRPr="0038502B">
        <w:rPr>
          <w:rFonts w:ascii="Times New Roman" w:hAnsi="Times New Roman" w:cs="Times New Roman"/>
          <w:b/>
          <w:bCs/>
          <w:sz w:val="24"/>
          <w:szCs w:val="24"/>
        </w:rPr>
        <w:lastRenderedPageBreak/>
        <w:t>Measles Epidemiology in Africa</w:t>
      </w:r>
    </w:p>
    <w:p w14:paraId="464660C3" w14:textId="24F58227" w:rsidR="00CA7804" w:rsidRPr="0038502B" w:rsidRDefault="00CA780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Despite improvements in immunization programmes, measles remains endemic in many African countries. Measles incidence in Africa increased significantly between 2017 and 2021. Major outbreaks have been reported in the Democratic Republic of Congo, Ethiopia, Nigeria, and several Southern African countries</w:t>
      </w:r>
      <w:r w:rsidR="008F4B71">
        <w:rPr>
          <w:rFonts w:ascii="Times New Roman" w:hAnsi="Times New Roman" w:cs="Times New Roman"/>
          <w:sz w:val="24"/>
          <w:szCs w:val="24"/>
        </w:rPr>
        <w:t xml:space="preserve">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NT4BBg68","properties":{"unsorted":false,"formattedCitation":"(3)","plainCitation":"(3)","noteIndex":0},"citationItems":[{"id":24073,"uris":["http://zotero.org/users/6223522/items/Q6FK6C78"],"itemData":{"id":24073,"type":"article-journal","container-title":"Morbidity and Mortality Weekly Report","DOI":"10.15585/mmwr.mm7345a4","issue":"45","page":"1036-1042","title":"Progress Toward Measles Elimination — Worldwide, 2000–2023","volume":"73","author":[{"family":"Minta","given":"A. A."},{"family":"Ferrari","given":"M."},{"family":"Antoni","given":"S."},{"family":"Lambert","given":"B."},{"family":"Sayi","given":"T. S."},{"family":"Hsu","given":"C. H."},{"family":"Steulet","given":"C."},{"family":"Gacic-Dobo","given":"M."},{"family":"Rota","given":"P. A."},{"family":"Mulders","given":"M."},{"family":"Wimmer","given":"A."},{"family":"Bose","given":"A."},{"family":"O'Connor","given":"P."},{"family":"Crowcroft","given":"N."}],"issued":{"date-parts":[["2024"]]}}}],"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(3)</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w:t>
      </w:r>
    </w:p>
    <w:p w14:paraId="14FAED10" w14:textId="77777777" w:rsidR="00CA7804" w:rsidRPr="0038502B" w:rsidRDefault="00CA780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Challenges contributing to these outbreaks include:</w:t>
      </w:r>
    </w:p>
    <w:p w14:paraId="79653894" w14:textId="77777777" w:rsidR="00CA7804" w:rsidRPr="0038502B" w:rsidRDefault="00CA7804">
      <w:pPr>
        <w:numPr>
          <w:ilvl w:val="0"/>
          <w:numId w:val="4"/>
        </w:num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Inadequate vaccination coverage </w:t>
      </w:r>
    </w:p>
    <w:p w14:paraId="3B3887B1" w14:textId="77777777" w:rsidR="00CA7804" w:rsidRPr="0038502B" w:rsidRDefault="00CA7804">
      <w:pPr>
        <w:numPr>
          <w:ilvl w:val="0"/>
          <w:numId w:val="4"/>
        </w:num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Weak surveillance systems </w:t>
      </w:r>
    </w:p>
    <w:p w14:paraId="02BA69F2" w14:textId="77777777" w:rsidR="00CA7804" w:rsidRPr="0038502B" w:rsidRDefault="00CA7804">
      <w:pPr>
        <w:numPr>
          <w:ilvl w:val="0"/>
          <w:numId w:val="4"/>
        </w:num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Population displacement </w:t>
      </w:r>
    </w:p>
    <w:p w14:paraId="447F17D2" w14:textId="77777777" w:rsidR="00CA7804" w:rsidRPr="0038502B" w:rsidRDefault="00CA7804">
      <w:pPr>
        <w:numPr>
          <w:ilvl w:val="0"/>
          <w:numId w:val="4"/>
        </w:num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Health system disruptions </w:t>
      </w:r>
    </w:p>
    <w:p w14:paraId="5AC1A1E4" w14:textId="77777777" w:rsidR="00CA7804" w:rsidRDefault="00CA7804">
      <w:pPr>
        <w:numPr>
          <w:ilvl w:val="0"/>
          <w:numId w:val="4"/>
        </w:num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Vaccine stockouts </w:t>
      </w:r>
    </w:p>
    <w:p w14:paraId="11D224CE" w14:textId="77777777" w:rsidR="00B3476D" w:rsidRPr="0038502B" w:rsidRDefault="00B3476D" w:rsidP="00B3476D">
      <w:pPr>
        <w:spacing w:line="480" w:lineRule="auto"/>
        <w:rPr>
          <w:rFonts w:ascii="Times New Roman" w:hAnsi="Times New Roman" w:cs="Times New Roman"/>
          <w:sz w:val="24"/>
          <w:szCs w:val="24"/>
        </w:rPr>
      </w:pPr>
    </w:p>
    <w:p w14:paraId="4B624922" w14:textId="798EE64F" w:rsidR="00C1319C" w:rsidRPr="0038502B" w:rsidRDefault="00CA7804"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These factors contribute to accumulation of susceptible individuals and recurrent epidemics.</w:t>
      </w:r>
    </w:p>
    <w:p w14:paraId="2612F32A" w14:textId="6A05A9AF" w:rsidR="00C1319C" w:rsidRPr="0038502B" w:rsidRDefault="00C1319C" w:rsidP="0038502B">
      <w:pPr>
        <w:pStyle w:val="Heading2"/>
      </w:pPr>
      <w:bookmarkStart w:id="24" w:name="_Toc232844525"/>
      <w:bookmarkStart w:id="25" w:name="_Toc232850310"/>
      <w:r w:rsidRPr="0038502B">
        <w:t>Objectives</w:t>
      </w:r>
      <w:bookmarkEnd w:id="24"/>
      <w:bookmarkEnd w:id="25"/>
    </w:p>
    <w:p w14:paraId="49DF09AD" w14:textId="56477452" w:rsidR="00835015" w:rsidRPr="00985840" w:rsidRDefault="00835015">
      <w:pPr>
        <w:pStyle w:val="Heading3"/>
        <w:numPr>
          <w:ilvl w:val="2"/>
          <w:numId w:val="12"/>
        </w:numPr>
        <w:ind w:left="0" w:firstLine="0"/>
        <w:rPr>
          <w:bCs w:val="0"/>
        </w:rPr>
      </w:pPr>
      <w:bookmarkStart w:id="26" w:name="_Toc232844526"/>
      <w:bookmarkStart w:id="27" w:name="_Toc232850311"/>
      <w:r w:rsidRPr="00985840">
        <w:rPr>
          <w:bCs w:val="0"/>
        </w:rPr>
        <w:t>Broad Objective</w:t>
      </w:r>
      <w:bookmarkEnd w:id="26"/>
      <w:bookmarkEnd w:id="27"/>
    </w:p>
    <w:p w14:paraId="0C8316C8" w14:textId="77777777" w:rsidR="00835015" w:rsidRPr="0038502B" w:rsidRDefault="00835015"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To determine the seroprevalence of measles antibodies and its associated factors in Malawi</w:t>
      </w:r>
    </w:p>
    <w:p w14:paraId="1C0D9D79" w14:textId="58C2D0F9" w:rsidR="00835015" w:rsidRPr="00985840" w:rsidRDefault="00835015">
      <w:pPr>
        <w:pStyle w:val="Heading3"/>
        <w:numPr>
          <w:ilvl w:val="2"/>
          <w:numId w:val="12"/>
        </w:numPr>
        <w:ind w:left="0" w:firstLine="0"/>
        <w:rPr>
          <w:bCs w:val="0"/>
        </w:rPr>
      </w:pPr>
      <w:bookmarkStart w:id="28" w:name="_Toc232844527"/>
      <w:bookmarkStart w:id="29" w:name="_Toc232850312"/>
      <w:r w:rsidRPr="00985840">
        <w:rPr>
          <w:bCs w:val="0"/>
        </w:rPr>
        <w:t>Specific Objectives</w:t>
      </w:r>
      <w:bookmarkEnd w:id="28"/>
      <w:bookmarkEnd w:id="29"/>
    </w:p>
    <w:p w14:paraId="515EE1E1" w14:textId="77777777" w:rsidR="00835015" w:rsidRPr="0038502B" w:rsidRDefault="00835015" w:rsidP="0038502B">
      <w:pPr>
        <w:numPr>
          <w:ilvl w:val="0"/>
          <w:numId w:val="1"/>
        </w:num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To determine the seroprevalence of measles antibodies in Malawi. </w:t>
      </w:r>
    </w:p>
    <w:p w14:paraId="400C540C" w14:textId="77777777" w:rsidR="00835015" w:rsidRPr="0038502B" w:rsidRDefault="00835015" w:rsidP="0038502B">
      <w:pPr>
        <w:numPr>
          <w:ilvl w:val="0"/>
          <w:numId w:val="1"/>
        </w:num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To identify factors associated with measles antibody seropositivity. </w:t>
      </w:r>
    </w:p>
    <w:p w14:paraId="34012BFF" w14:textId="77777777" w:rsidR="00835015" w:rsidRPr="0038502B" w:rsidRDefault="00835015" w:rsidP="0038502B">
      <w:pPr>
        <w:numPr>
          <w:ilvl w:val="0"/>
          <w:numId w:val="1"/>
        </w:numPr>
        <w:spacing w:line="480" w:lineRule="auto"/>
        <w:rPr>
          <w:rFonts w:ascii="Times New Roman" w:hAnsi="Times New Roman" w:cs="Times New Roman"/>
          <w:sz w:val="24"/>
          <w:szCs w:val="24"/>
        </w:rPr>
      </w:pPr>
      <w:r w:rsidRPr="0038502B">
        <w:rPr>
          <w:rFonts w:ascii="Times New Roman" w:hAnsi="Times New Roman" w:cs="Times New Roman"/>
          <w:sz w:val="24"/>
          <w:szCs w:val="24"/>
        </w:rPr>
        <w:t>To describe the distribution of measles seroprevalence by district.</w:t>
      </w:r>
    </w:p>
    <w:p w14:paraId="2C01B519" w14:textId="6BC6B6B6" w:rsidR="00835015" w:rsidRPr="0038502B" w:rsidRDefault="00835015" w:rsidP="005174AF">
      <w:pPr>
        <w:pStyle w:val="Heading2"/>
      </w:pPr>
      <w:bookmarkStart w:id="30" w:name="_Toc232844528"/>
      <w:bookmarkStart w:id="31" w:name="_Toc232850313"/>
      <w:r w:rsidRPr="0038502B">
        <w:t>Conceptual Framework</w:t>
      </w:r>
      <w:bookmarkEnd w:id="30"/>
      <w:bookmarkEnd w:id="31"/>
    </w:p>
    <w:p w14:paraId="588D434B" w14:textId="77777777" w:rsidR="00835015" w:rsidRPr="0038502B" w:rsidRDefault="00835015" w:rsidP="0038502B">
      <w:p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The conceptual framework assumes that measles seropositivity is influenced by the following:</w:t>
      </w:r>
    </w:p>
    <w:p w14:paraId="3E5B6B77" w14:textId="77777777" w:rsidR="00835015" w:rsidRPr="0038502B" w:rsidRDefault="00835015" w:rsidP="0038502B">
      <w:pPr>
        <w:spacing w:line="480" w:lineRule="auto"/>
        <w:rPr>
          <w:rFonts w:ascii="Times New Roman" w:eastAsia="Times New Roman" w:hAnsi="Times New Roman" w:cs="Times New Roman"/>
          <w:b/>
          <w:bCs/>
          <w:sz w:val="24"/>
          <w:szCs w:val="24"/>
        </w:rPr>
      </w:pPr>
      <w:r w:rsidRPr="0038502B">
        <w:rPr>
          <w:rFonts w:ascii="Times New Roman" w:eastAsia="Times New Roman" w:hAnsi="Times New Roman" w:cs="Times New Roman"/>
          <w:b/>
          <w:bCs/>
          <w:sz w:val="24"/>
          <w:szCs w:val="24"/>
        </w:rPr>
        <w:t>Independent Variables</w:t>
      </w:r>
    </w:p>
    <w:p w14:paraId="54367831" w14:textId="77777777" w:rsidR="00835015" w:rsidRPr="0038502B" w:rsidRDefault="00835015" w:rsidP="0038502B">
      <w:pPr>
        <w:numPr>
          <w:ilvl w:val="0"/>
          <w:numId w:val="2"/>
        </w:num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lastRenderedPageBreak/>
        <w:t xml:space="preserve">Age </w:t>
      </w:r>
    </w:p>
    <w:p w14:paraId="48ADBFF9" w14:textId="77777777" w:rsidR="00835015" w:rsidRPr="0038502B" w:rsidRDefault="00835015" w:rsidP="0038502B">
      <w:pPr>
        <w:numPr>
          <w:ilvl w:val="0"/>
          <w:numId w:val="2"/>
        </w:num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 xml:space="preserve">Sex </w:t>
      </w:r>
    </w:p>
    <w:p w14:paraId="4CAA9AEF" w14:textId="77777777" w:rsidR="00835015" w:rsidRPr="0038502B" w:rsidRDefault="00835015" w:rsidP="0038502B">
      <w:pPr>
        <w:numPr>
          <w:ilvl w:val="0"/>
          <w:numId w:val="2"/>
        </w:num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 xml:space="preserve">District of residence </w:t>
      </w:r>
    </w:p>
    <w:p w14:paraId="480696BE" w14:textId="77777777" w:rsidR="00835015" w:rsidRPr="0038502B" w:rsidRDefault="00835015" w:rsidP="0038502B">
      <w:pPr>
        <w:numPr>
          <w:ilvl w:val="0"/>
          <w:numId w:val="2"/>
        </w:num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 xml:space="preserve">Vaccination status </w:t>
      </w:r>
      <w:r w:rsidR="00FC4F13" w:rsidRPr="0038502B">
        <w:rPr>
          <w:rFonts w:ascii="Times New Roman" w:eastAsia="Times New Roman" w:hAnsi="Times New Roman" w:cs="Times New Roman"/>
          <w:sz w:val="24"/>
          <w:szCs w:val="24"/>
        </w:rPr>
        <w:t>i.e time of last</w:t>
      </w:r>
      <w:r w:rsidRPr="0038502B">
        <w:rPr>
          <w:rFonts w:ascii="Times New Roman" w:eastAsia="Times New Roman" w:hAnsi="Times New Roman" w:cs="Times New Roman"/>
          <w:sz w:val="24"/>
          <w:szCs w:val="24"/>
        </w:rPr>
        <w:t xml:space="preserve"> vaccination </w:t>
      </w:r>
    </w:p>
    <w:p w14:paraId="3FD1E1A6" w14:textId="77777777" w:rsidR="00835015" w:rsidRPr="0038502B" w:rsidRDefault="00835015" w:rsidP="0038502B">
      <w:pPr>
        <w:numPr>
          <w:ilvl w:val="0"/>
          <w:numId w:val="2"/>
        </w:num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 xml:space="preserve">Sample condition </w:t>
      </w:r>
    </w:p>
    <w:p w14:paraId="71CA62FC" w14:textId="77777777" w:rsidR="00835015" w:rsidRPr="0038502B" w:rsidRDefault="00FC4F13" w:rsidP="0038502B">
      <w:pPr>
        <w:numPr>
          <w:ilvl w:val="0"/>
          <w:numId w:val="2"/>
        </w:num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 xml:space="preserve">Time </w:t>
      </w:r>
      <w:r w:rsidR="00835015" w:rsidRPr="0038502B">
        <w:rPr>
          <w:rFonts w:ascii="Times New Roman" w:eastAsia="Times New Roman" w:hAnsi="Times New Roman" w:cs="Times New Roman"/>
          <w:sz w:val="24"/>
          <w:szCs w:val="24"/>
        </w:rPr>
        <w:t>specimen collection</w:t>
      </w:r>
      <w:r w:rsidRPr="0038502B">
        <w:rPr>
          <w:rFonts w:ascii="Times New Roman" w:eastAsia="Times New Roman" w:hAnsi="Times New Roman" w:cs="Times New Roman"/>
          <w:sz w:val="24"/>
          <w:szCs w:val="24"/>
        </w:rPr>
        <w:t xml:space="preserve"> (time between sample collection and testing)</w:t>
      </w:r>
      <w:r w:rsidR="00835015" w:rsidRPr="0038502B">
        <w:rPr>
          <w:rFonts w:ascii="Times New Roman" w:eastAsia="Times New Roman" w:hAnsi="Times New Roman" w:cs="Times New Roman"/>
          <w:sz w:val="24"/>
          <w:szCs w:val="24"/>
        </w:rPr>
        <w:t xml:space="preserve"> </w:t>
      </w:r>
    </w:p>
    <w:p w14:paraId="7C445AE6" w14:textId="77777777" w:rsidR="00835015" w:rsidRPr="0038502B" w:rsidRDefault="00835015" w:rsidP="0038502B">
      <w:pPr>
        <w:spacing w:before="100" w:beforeAutospacing="1" w:after="100" w:afterAutospacing="1" w:line="480" w:lineRule="auto"/>
        <w:rPr>
          <w:rFonts w:ascii="Times New Roman" w:eastAsia="Times New Roman" w:hAnsi="Times New Roman" w:cs="Times New Roman"/>
          <w:b/>
          <w:bCs/>
          <w:sz w:val="24"/>
          <w:szCs w:val="24"/>
        </w:rPr>
      </w:pPr>
      <w:r w:rsidRPr="0038502B">
        <w:rPr>
          <w:rFonts w:ascii="Times New Roman" w:eastAsia="Times New Roman" w:hAnsi="Times New Roman" w:cs="Times New Roman"/>
          <w:b/>
          <w:bCs/>
          <w:sz w:val="24"/>
          <w:szCs w:val="24"/>
        </w:rPr>
        <w:t>Dependent Variable</w:t>
      </w:r>
    </w:p>
    <w:p w14:paraId="65602569" w14:textId="77777777" w:rsidR="00835015" w:rsidRPr="0038502B" w:rsidRDefault="00835015" w:rsidP="0038502B">
      <w:pPr>
        <w:numPr>
          <w:ilvl w:val="0"/>
          <w:numId w:val="2"/>
        </w:num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 xml:space="preserve">Measles antibody status (Positive/Negative) </w:t>
      </w:r>
    </w:p>
    <w:p w14:paraId="348810BA" w14:textId="0682C87C" w:rsidR="00B3476D" w:rsidRDefault="00835015" w:rsidP="00B3476D">
      <w:pPr>
        <w:spacing w:before="100" w:beforeAutospacing="1" w:after="100" w:afterAutospacing="1" w:line="480" w:lineRule="auto"/>
        <w:rPr>
          <w:rFonts w:ascii="Times New Roman" w:eastAsia="Times New Roman" w:hAnsi="Times New Roman" w:cs="Times New Roman"/>
          <w:sz w:val="24"/>
          <w:szCs w:val="24"/>
        </w:rPr>
      </w:pPr>
      <w:r w:rsidRPr="0038502B">
        <w:rPr>
          <w:rFonts w:ascii="Times New Roman" w:eastAsia="Times New Roman" w:hAnsi="Times New Roman" w:cs="Times New Roman"/>
          <w:sz w:val="24"/>
          <w:szCs w:val="24"/>
        </w:rPr>
        <w:t>These factors influence the development and persistence of protective measles antibodies, which ultimately determine population immunity.</w:t>
      </w:r>
      <w:r w:rsidR="00B3476D">
        <w:rPr>
          <w:rFonts w:ascii="Times New Roman" w:eastAsia="Times New Roman" w:hAnsi="Times New Roman" w:cs="Times New Roman"/>
          <w:sz w:val="24"/>
          <w:szCs w:val="24"/>
        </w:rPr>
        <w:br w:type="page"/>
      </w:r>
    </w:p>
    <w:p w14:paraId="6251E7FB" w14:textId="77777777" w:rsidR="00FC4F13" w:rsidRPr="0038502B" w:rsidRDefault="00FC4F13" w:rsidP="00B3476D">
      <w:pPr>
        <w:spacing w:before="100" w:beforeAutospacing="1" w:after="100" w:afterAutospacing="1" w:line="480" w:lineRule="auto"/>
        <w:rPr>
          <w:rFonts w:ascii="Times New Roman" w:eastAsia="Times New Roman" w:hAnsi="Times New Roman" w:cs="Times New Roman"/>
          <w:sz w:val="24"/>
          <w:szCs w:val="24"/>
        </w:rPr>
      </w:pPr>
    </w:p>
    <w:p w14:paraId="1C868DC8" w14:textId="1DAA238F" w:rsidR="005F3FF6" w:rsidRPr="005174AF" w:rsidRDefault="00CA7804" w:rsidP="00985840">
      <w:pPr>
        <w:pStyle w:val="Heading1"/>
      </w:pPr>
      <w:bookmarkStart w:id="32" w:name="_Toc225329470"/>
      <w:bookmarkStart w:id="33" w:name="_Toc232844529"/>
      <w:bookmarkStart w:id="34" w:name="_Toc232850314"/>
      <w:r w:rsidRPr="005174AF">
        <w:t>Chapter 2</w:t>
      </w:r>
      <w:r w:rsidRPr="005174AF">
        <w:tab/>
        <w:t>Methods</w:t>
      </w:r>
      <w:bookmarkEnd w:id="32"/>
      <w:bookmarkEnd w:id="33"/>
      <w:bookmarkEnd w:id="34"/>
      <w:r w:rsidR="005F3FF6" w:rsidRPr="005174AF">
        <w:t xml:space="preserve"> </w:t>
      </w:r>
    </w:p>
    <w:p w14:paraId="70F9F145" w14:textId="44A6DD4B" w:rsidR="005F3FF6" w:rsidRPr="0038502B" w:rsidRDefault="00CA7804" w:rsidP="0038502B">
      <w:pPr>
        <w:pStyle w:val="Heading2"/>
      </w:pPr>
      <w:bookmarkStart w:id="35" w:name="_Toc232844530"/>
      <w:bookmarkStart w:id="36" w:name="_Toc232850315"/>
      <w:r w:rsidRPr="0038502B">
        <w:t>Type of research study</w:t>
      </w:r>
      <w:bookmarkEnd w:id="35"/>
      <w:bookmarkEnd w:id="36"/>
      <w:r w:rsidR="005F3FF6" w:rsidRPr="0038502B">
        <w:t xml:space="preserve"> </w:t>
      </w:r>
    </w:p>
    <w:p w14:paraId="3FA9C613" w14:textId="77777777" w:rsidR="005F3FF6" w:rsidRPr="0038502B" w:rsidRDefault="005F3FF6"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It is a retrospective cross-sectional analytical study, that will use secondary data generated by Expanded Program on Immunization - measles unit in Malawi.  </w:t>
      </w:r>
    </w:p>
    <w:p w14:paraId="6F2090DB" w14:textId="77777777" w:rsidR="005F3FF6" w:rsidRPr="0038502B" w:rsidRDefault="005F3FF6"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The National Expanded Programme on immunization (EPI) in Malawi is a government entity under the Ministry of Health that coordinates the planning, implementation, and monitoring of immunization services across the country. The EPI headquarters is located at the Public Health Institute of Malawi (formerly known as Community Health Sciences Unit - CHSU) in Lilongwe, Malawi. </w:t>
      </w:r>
    </w:p>
    <w:p w14:paraId="4F62061D" w14:textId="77777777" w:rsidR="005F3FF6" w:rsidRPr="0038502B" w:rsidRDefault="005F3FF6" w:rsidP="0038502B">
      <w:pPr>
        <w:spacing w:after="121" w:line="480" w:lineRule="auto"/>
        <w:rPr>
          <w:rFonts w:ascii="Times New Roman" w:hAnsi="Times New Roman" w:cs="Times New Roman"/>
          <w:sz w:val="24"/>
          <w:szCs w:val="24"/>
        </w:rPr>
      </w:pPr>
      <w:r w:rsidRPr="0038502B">
        <w:rPr>
          <w:rFonts w:ascii="Times New Roman" w:hAnsi="Times New Roman" w:cs="Times New Roman"/>
          <w:sz w:val="24"/>
          <w:szCs w:val="24"/>
        </w:rPr>
        <w:t xml:space="preserve"> </w:t>
      </w:r>
    </w:p>
    <w:p w14:paraId="7E915761" w14:textId="1796DD6A" w:rsidR="005F3FF6" w:rsidRPr="0038502B" w:rsidRDefault="005F3FF6" w:rsidP="0038502B">
      <w:pPr>
        <w:pStyle w:val="Heading2"/>
      </w:pPr>
      <w:bookmarkStart w:id="37" w:name="_Toc225329472"/>
      <w:bookmarkStart w:id="38" w:name="_Toc232844531"/>
      <w:bookmarkStart w:id="39" w:name="_Toc232850316"/>
      <w:r w:rsidRPr="0038502B">
        <w:t>Study Place</w:t>
      </w:r>
      <w:bookmarkEnd w:id="37"/>
      <w:bookmarkEnd w:id="38"/>
      <w:bookmarkEnd w:id="39"/>
    </w:p>
    <w:p w14:paraId="28D22411" w14:textId="77777777" w:rsidR="005F3FF6" w:rsidRPr="0038502B" w:rsidRDefault="005F3FF6"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According to the NSO 2018 projection the total population in 2025 was estimated at 20,734,262 (13). The measles data was generated in all 29 administrative districts namely Chitipa, Karonga, Likoma, Mzimba, Nkhata Bay, Rumphi, Dedza, Dowa, Kasungu, Lilongwe, Mchinji, Nkhotakota, Ntcheu, Ntchisi, Salima, Balaka, Blantyre, Chikwawa, Chiradzulu, Machinga, Mangochi, Mulanje, Mwanza, Neno, Nsanje, Phalombe, Thyolo, and Zomba. </w:t>
      </w:r>
    </w:p>
    <w:p w14:paraId="20BE7585" w14:textId="77777777" w:rsidR="005F3FF6" w:rsidRPr="0038502B" w:rsidRDefault="005F3FF6" w:rsidP="0038502B">
      <w:pPr>
        <w:spacing w:after="118" w:line="480" w:lineRule="auto"/>
        <w:rPr>
          <w:rFonts w:ascii="Times New Roman" w:hAnsi="Times New Roman" w:cs="Times New Roman"/>
          <w:sz w:val="24"/>
          <w:szCs w:val="24"/>
        </w:rPr>
      </w:pPr>
      <w:r w:rsidRPr="0038502B">
        <w:rPr>
          <w:rFonts w:ascii="Times New Roman" w:hAnsi="Times New Roman" w:cs="Times New Roman"/>
          <w:b/>
          <w:sz w:val="24"/>
          <w:szCs w:val="24"/>
        </w:rPr>
        <w:t xml:space="preserve"> </w:t>
      </w:r>
    </w:p>
    <w:p w14:paraId="45AF44E2" w14:textId="77777777" w:rsidR="005F3FF6" w:rsidRPr="0038502B" w:rsidRDefault="005F3FF6"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Kamuzu central Hospital laboratory is a National measles testing site, engulfed within serology department. Situated in the central region of Malawi, largest referral hospital for the Central Region and beyond. It receives approximately 70 samples in a month.</w:t>
      </w:r>
    </w:p>
    <w:p w14:paraId="12EBCB23" w14:textId="2AF4F253" w:rsidR="00CA7804" w:rsidRPr="0013327C" w:rsidRDefault="00CA7804" w:rsidP="0013327C">
      <w:pPr>
        <w:pStyle w:val="Heading2"/>
      </w:pPr>
      <w:bookmarkStart w:id="40" w:name="_Toc232844532"/>
      <w:bookmarkStart w:id="41" w:name="_Toc232850317"/>
      <w:r w:rsidRPr="0013327C">
        <w:t>Study population</w:t>
      </w:r>
      <w:bookmarkEnd w:id="40"/>
      <w:bookmarkEnd w:id="41"/>
      <w:r w:rsidRPr="0013327C">
        <w:t xml:space="preserve"> </w:t>
      </w:r>
    </w:p>
    <w:p w14:paraId="688E9E38" w14:textId="37AE6799" w:rsidR="0013327C" w:rsidRDefault="0013327C" w:rsidP="0013327C">
      <w:pPr>
        <w:spacing w:line="480" w:lineRule="auto"/>
        <w:rPr>
          <w:rFonts w:ascii="Times New Roman" w:hAnsi="Times New Roman" w:cs="Times New Roman"/>
          <w:sz w:val="24"/>
          <w:szCs w:val="24"/>
        </w:rPr>
      </w:pPr>
      <w:r w:rsidRPr="0013327C">
        <w:rPr>
          <w:rFonts w:ascii="Times New Roman" w:hAnsi="Times New Roman" w:cs="Times New Roman"/>
          <w:sz w:val="24"/>
          <w:szCs w:val="24"/>
        </w:rPr>
        <w:lastRenderedPageBreak/>
        <w:t>The study population comprised all suspected measles cases reported to the National Expanded Programme on Immunization (EPI) surveillance system whose specimens were submitted to the Kamuzu Central Hospital laboratory for measles IgM testing. A suspected case was defined according to the standard EPI case definition and included individuals presenting with fever and maculopapular rash, irrespective of age, sex, or vaccination status, drawn from across Malawi's administrative districts. Only suspected cases with complete demographic records and a valid IgM test result were eligible for inclusion in the final analysis, consistent with the inclusion and exclusion criteria described above.</w:t>
      </w:r>
    </w:p>
    <w:p w14:paraId="3B0FAC95" w14:textId="77777777" w:rsidR="0013327C" w:rsidRPr="0038502B" w:rsidRDefault="0013327C" w:rsidP="0013327C">
      <w:pPr>
        <w:spacing w:line="480" w:lineRule="auto"/>
        <w:rPr>
          <w:rFonts w:ascii="Times New Roman" w:hAnsi="Times New Roman" w:cs="Times New Roman"/>
          <w:sz w:val="24"/>
          <w:szCs w:val="24"/>
        </w:rPr>
      </w:pPr>
    </w:p>
    <w:p w14:paraId="0866082C" w14:textId="368429A0" w:rsidR="00606CDE" w:rsidRPr="0013327C" w:rsidRDefault="00606CDE" w:rsidP="0013327C">
      <w:pPr>
        <w:pStyle w:val="Heading2"/>
      </w:pPr>
      <w:bookmarkStart w:id="42" w:name="_Toc232844533"/>
      <w:bookmarkStart w:id="43" w:name="_Toc232850318"/>
      <w:r w:rsidRPr="0013327C">
        <w:t>Study period</w:t>
      </w:r>
      <w:bookmarkEnd w:id="42"/>
      <w:bookmarkEnd w:id="43"/>
    </w:p>
    <w:p w14:paraId="0CA2E736" w14:textId="683BD755" w:rsidR="0013327C" w:rsidRDefault="0013327C" w:rsidP="0013327C">
      <w:pPr>
        <w:spacing w:line="480" w:lineRule="auto"/>
        <w:rPr>
          <w:rFonts w:ascii="Times New Roman" w:hAnsi="Times New Roman" w:cs="Times New Roman"/>
          <w:sz w:val="24"/>
          <w:szCs w:val="24"/>
        </w:rPr>
      </w:pPr>
      <w:r w:rsidRPr="0013327C">
        <w:rPr>
          <w:rFonts w:ascii="Times New Roman" w:hAnsi="Times New Roman" w:cs="Times New Roman"/>
          <w:sz w:val="24"/>
          <w:szCs w:val="24"/>
        </w:rPr>
        <w:t>The study covered a 21-month period from April 2023 to December 2024. This period was selected because it captured a sustained phase of measles surveillance and laboratory testing activity at Kamuzu Central Hospital, including a marked rise in suspected and IgM-positive cases beginning in August 2024 and peaking in November 2024. Restricting the analysis to this period ensured that the dataset reflected a complete and consistent surveillance window, rather than fragments of activity from non-contiguous reporting periods.</w:t>
      </w:r>
      <w:r>
        <w:rPr>
          <w:rFonts w:ascii="Times New Roman" w:hAnsi="Times New Roman" w:cs="Times New Roman"/>
          <w:sz w:val="24"/>
          <w:szCs w:val="24"/>
        </w:rPr>
        <w:t xml:space="preserve"> See the study ghant chart</w:t>
      </w:r>
      <w:r w:rsidR="005161AB">
        <w:rPr>
          <w:rFonts w:ascii="Times New Roman" w:hAnsi="Times New Roman" w:cs="Times New Roman"/>
          <w:sz w:val="24"/>
          <w:szCs w:val="24"/>
        </w:rPr>
        <w:t xml:space="preserve"> (</w:t>
      </w:r>
      <w:r w:rsidR="005161AB">
        <w:rPr>
          <w:rFonts w:ascii="Times New Roman" w:hAnsi="Times New Roman" w:cs="Times New Roman"/>
          <w:sz w:val="24"/>
          <w:szCs w:val="24"/>
        </w:rPr>
        <w:fldChar w:fldCharType="begin"/>
      </w:r>
      <w:r w:rsidR="005161AB">
        <w:rPr>
          <w:rFonts w:ascii="Times New Roman" w:hAnsi="Times New Roman" w:cs="Times New Roman"/>
          <w:sz w:val="24"/>
          <w:szCs w:val="24"/>
        </w:rPr>
        <w:instrText xml:space="preserve"> REF _Ref232834593 \h  \* MERGEFORMAT </w:instrText>
      </w:r>
      <w:r w:rsidR="005161AB">
        <w:rPr>
          <w:rFonts w:ascii="Times New Roman" w:hAnsi="Times New Roman" w:cs="Times New Roman"/>
          <w:sz w:val="24"/>
          <w:szCs w:val="24"/>
        </w:rPr>
      </w:r>
      <w:r w:rsidR="005161AB">
        <w:rPr>
          <w:rFonts w:ascii="Times New Roman" w:hAnsi="Times New Roman" w:cs="Times New Roman"/>
          <w:sz w:val="24"/>
          <w:szCs w:val="24"/>
        </w:rPr>
        <w:fldChar w:fldCharType="separate"/>
      </w:r>
      <w:r w:rsidR="005161AB" w:rsidRPr="005161AB">
        <w:rPr>
          <w:rFonts w:ascii="Times New Roman" w:hAnsi="Times New Roman" w:cs="Times New Roman"/>
          <w:sz w:val="24"/>
          <w:szCs w:val="24"/>
        </w:rPr>
        <w:t>Figure 1</w:t>
      </w:r>
      <w:r w:rsidR="005161AB">
        <w:rPr>
          <w:rFonts w:ascii="Times New Roman" w:hAnsi="Times New Roman" w:cs="Times New Roman"/>
          <w:sz w:val="24"/>
          <w:szCs w:val="24"/>
        </w:rPr>
        <w:fldChar w:fldCharType="end"/>
      </w:r>
      <w:r w:rsidR="005161AB">
        <w:rPr>
          <w:rFonts w:ascii="Times New Roman" w:hAnsi="Times New Roman" w:cs="Times New Roman"/>
          <w:sz w:val="24"/>
          <w:szCs w:val="24"/>
        </w:rPr>
        <w:t>)</w:t>
      </w:r>
    </w:p>
    <w:p w14:paraId="3C24AD57" w14:textId="77777777" w:rsidR="0013327C" w:rsidRPr="00142EB8" w:rsidRDefault="0013327C" w:rsidP="0013327C">
      <w:pPr>
        <w:spacing w:after="8"/>
        <w:rPr>
          <w:rFonts w:ascii="Times New Roman" w:hAnsi="Times New Roman" w:cs="Times New Roman"/>
          <w:sz w:val="24"/>
          <w:szCs w:val="24"/>
        </w:rPr>
      </w:pPr>
      <w:r w:rsidRPr="00142EB8">
        <w:rPr>
          <w:rFonts w:ascii="Times New Roman" w:hAnsi="Times New Roman" w:cs="Times New Roman"/>
          <w:sz w:val="24"/>
          <w:szCs w:val="24"/>
        </w:rPr>
        <w:t xml:space="preserve"> </w:t>
      </w:r>
    </w:p>
    <w:tbl>
      <w:tblPr>
        <w:tblStyle w:val="TableGrid"/>
        <w:tblW w:w="9894" w:type="dxa"/>
        <w:tblInd w:w="7" w:type="dxa"/>
        <w:tblCellMar>
          <w:top w:w="8" w:type="dxa"/>
          <w:left w:w="106" w:type="dxa"/>
        </w:tblCellMar>
        <w:tblLook w:val="04A0" w:firstRow="1" w:lastRow="0" w:firstColumn="1" w:lastColumn="0" w:noHBand="0" w:noVBand="1"/>
      </w:tblPr>
      <w:tblGrid>
        <w:gridCol w:w="2645"/>
        <w:gridCol w:w="900"/>
        <w:gridCol w:w="757"/>
        <w:gridCol w:w="702"/>
        <w:gridCol w:w="714"/>
        <w:gridCol w:w="668"/>
        <w:gridCol w:w="875"/>
        <w:gridCol w:w="698"/>
        <w:gridCol w:w="681"/>
        <w:gridCol w:w="629"/>
        <w:gridCol w:w="625"/>
      </w:tblGrid>
      <w:tr w:rsidR="0013327C" w:rsidRPr="00142EB8" w14:paraId="07283429" w14:textId="77777777" w:rsidTr="007174E4">
        <w:trPr>
          <w:trHeight w:val="587"/>
        </w:trPr>
        <w:tc>
          <w:tcPr>
            <w:tcW w:w="2688" w:type="dxa"/>
            <w:tcBorders>
              <w:top w:val="single" w:sz="4" w:space="0" w:color="BFBFBF"/>
              <w:left w:val="single" w:sz="4" w:space="0" w:color="BFBFBF"/>
              <w:bottom w:val="single" w:sz="4" w:space="0" w:color="BFBFBF"/>
              <w:right w:val="single" w:sz="4" w:space="0" w:color="BFBFBF"/>
            </w:tcBorders>
          </w:tcPr>
          <w:p w14:paraId="661AB7CC" w14:textId="77777777" w:rsidR="0013327C" w:rsidRPr="00142EB8" w:rsidRDefault="0013327C" w:rsidP="007174E4">
            <w:pPr>
              <w:rPr>
                <w:rFonts w:ascii="Times New Roman" w:hAnsi="Times New Roman" w:cs="Times New Roman"/>
                <w:sz w:val="24"/>
                <w:szCs w:val="24"/>
              </w:rPr>
            </w:pPr>
            <w:r w:rsidRPr="00142EB8">
              <w:rPr>
                <w:rFonts w:ascii="Times New Roman" w:hAnsi="Times New Roman" w:cs="Times New Roman"/>
                <w:b/>
                <w:sz w:val="24"/>
                <w:szCs w:val="24"/>
              </w:rPr>
              <w:t xml:space="preserve">ACTIVITY </w:t>
            </w:r>
          </w:p>
        </w:tc>
        <w:tc>
          <w:tcPr>
            <w:tcW w:w="911" w:type="dxa"/>
            <w:tcBorders>
              <w:top w:val="single" w:sz="4" w:space="0" w:color="BFBFBF"/>
              <w:left w:val="single" w:sz="4" w:space="0" w:color="BFBFBF"/>
              <w:bottom w:val="single" w:sz="4" w:space="0" w:color="BFBFBF"/>
              <w:right w:val="single" w:sz="4" w:space="0" w:color="BFBFBF"/>
            </w:tcBorders>
          </w:tcPr>
          <w:p w14:paraId="2A09FB1B"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b/>
                <w:sz w:val="24"/>
                <w:szCs w:val="24"/>
              </w:rPr>
              <w:t xml:space="preserve">OCT  </w:t>
            </w:r>
          </w:p>
        </w:tc>
        <w:tc>
          <w:tcPr>
            <w:tcW w:w="762" w:type="dxa"/>
            <w:tcBorders>
              <w:top w:val="single" w:sz="4" w:space="0" w:color="BFBFBF"/>
              <w:left w:val="single" w:sz="4" w:space="0" w:color="BFBFBF"/>
              <w:bottom w:val="single" w:sz="4" w:space="0" w:color="BFBFBF"/>
              <w:right w:val="single" w:sz="4" w:space="0" w:color="BFBFBF"/>
            </w:tcBorders>
          </w:tcPr>
          <w:p w14:paraId="5BF30729"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b/>
                <w:sz w:val="24"/>
                <w:szCs w:val="24"/>
              </w:rPr>
              <w:t xml:space="preserve">NOV </w:t>
            </w:r>
          </w:p>
        </w:tc>
        <w:tc>
          <w:tcPr>
            <w:tcW w:w="706" w:type="dxa"/>
            <w:tcBorders>
              <w:top w:val="single" w:sz="4" w:space="0" w:color="BFBFBF"/>
              <w:left w:val="single" w:sz="4" w:space="0" w:color="BFBFBF"/>
              <w:bottom w:val="single" w:sz="4" w:space="0" w:color="BFBFBF"/>
              <w:right w:val="single" w:sz="4" w:space="0" w:color="BFBFBF"/>
            </w:tcBorders>
          </w:tcPr>
          <w:p w14:paraId="15668D42"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b/>
                <w:sz w:val="24"/>
                <w:szCs w:val="24"/>
              </w:rPr>
              <w:t xml:space="preserve">DEC </w:t>
            </w:r>
          </w:p>
        </w:tc>
        <w:tc>
          <w:tcPr>
            <w:tcW w:w="720" w:type="dxa"/>
            <w:tcBorders>
              <w:top w:val="single" w:sz="4" w:space="0" w:color="BFBFBF"/>
              <w:left w:val="single" w:sz="4" w:space="0" w:color="BFBFBF"/>
              <w:bottom w:val="single" w:sz="4" w:space="0" w:color="BFBFBF"/>
              <w:right w:val="single" w:sz="4" w:space="0" w:color="BFBFBF"/>
            </w:tcBorders>
          </w:tcPr>
          <w:p w14:paraId="1A45DCE5"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b/>
                <w:sz w:val="24"/>
                <w:szCs w:val="24"/>
              </w:rPr>
              <w:t xml:space="preserve">JAN  </w:t>
            </w:r>
          </w:p>
        </w:tc>
        <w:tc>
          <w:tcPr>
            <w:tcW w:w="672" w:type="dxa"/>
            <w:tcBorders>
              <w:top w:val="single" w:sz="4" w:space="0" w:color="BFBFBF"/>
              <w:left w:val="single" w:sz="4" w:space="0" w:color="BFBFBF"/>
              <w:bottom w:val="single" w:sz="4" w:space="0" w:color="BFBFBF"/>
              <w:right w:val="single" w:sz="4" w:space="0" w:color="BFBFBF"/>
            </w:tcBorders>
          </w:tcPr>
          <w:p w14:paraId="0537EE59"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b/>
                <w:sz w:val="24"/>
                <w:szCs w:val="24"/>
              </w:rPr>
              <w:t xml:space="preserve">FEB  </w:t>
            </w:r>
          </w:p>
        </w:tc>
        <w:tc>
          <w:tcPr>
            <w:tcW w:w="883" w:type="dxa"/>
            <w:tcBorders>
              <w:top w:val="single" w:sz="4" w:space="0" w:color="BFBFBF"/>
              <w:left w:val="single" w:sz="4" w:space="0" w:color="BFBFBF"/>
              <w:bottom w:val="single" w:sz="4" w:space="0" w:color="BFBFBF"/>
              <w:right w:val="single" w:sz="4" w:space="0" w:color="BFBFBF"/>
            </w:tcBorders>
          </w:tcPr>
          <w:p w14:paraId="4DBF85CD"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b/>
                <w:sz w:val="24"/>
                <w:szCs w:val="24"/>
              </w:rPr>
              <w:t>MAR</w:t>
            </w:r>
          </w:p>
        </w:tc>
        <w:tc>
          <w:tcPr>
            <w:tcW w:w="702" w:type="dxa"/>
            <w:tcBorders>
              <w:top w:val="single" w:sz="4" w:space="0" w:color="BFBFBF"/>
              <w:left w:val="single" w:sz="4" w:space="0" w:color="BFBFBF"/>
              <w:bottom w:val="single" w:sz="4" w:space="0" w:color="BFBFBF"/>
              <w:right w:val="single" w:sz="4" w:space="0" w:color="BFBFBF"/>
            </w:tcBorders>
          </w:tcPr>
          <w:p w14:paraId="477CEF86"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b/>
                <w:sz w:val="24"/>
                <w:szCs w:val="24"/>
              </w:rPr>
              <w:t xml:space="preserve">APR  </w:t>
            </w:r>
          </w:p>
        </w:tc>
        <w:tc>
          <w:tcPr>
            <w:tcW w:w="590" w:type="dxa"/>
            <w:tcBorders>
              <w:top w:val="single" w:sz="4" w:space="0" w:color="BFBFBF"/>
              <w:left w:val="single" w:sz="4" w:space="0" w:color="BFBFBF"/>
              <w:bottom w:val="single" w:sz="4" w:space="0" w:color="BFBFBF"/>
              <w:right w:val="single" w:sz="4" w:space="0" w:color="BFBFBF"/>
            </w:tcBorders>
          </w:tcPr>
          <w:p w14:paraId="1EFDD0A8"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b/>
                <w:sz w:val="24"/>
                <w:szCs w:val="24"/>
              </w:rPr>
              <w:t xml:space="preserve">MAY  </w:t>
            </w:r>
          </w:p>
        </w:tc>
        <w:tc>
          <w:tcPr>
            <w:tcW w:w="631" w:type="dxa"/>
            <w:tcBorders>
              <w:top w:val="single" w:sz="4" w:space="0" w:color="BFBFBF"/>
              <w:left w:val="single" w:sz="4" w:space="0" w:color="BFBFBF"/>
              <w:bottom w:val="single" w:sz="4" w:space="0" w:color="BFBFBF"/>
              <w:right w:val="single" w:sz="4" w:space="0" w:color="BFBFBF"/>
            </w:tcBorders>
          </w:tcPr>
          <w:p w14:paraId="0A3A82DE"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b/>
                <w:sz w:val="24"/>
                <w:szCs w:val="24"/>
              </w:rPr>
              <w:t xml:space="preserve">JUN </w:t>
            </w:r>
          </w:p>
        </w:tc>
        <w:tc>
          <w:tcPr>
            <w:tcW w:w="628" w:type="dxa"/>
            <w:tcBorders>
              <w:top w:val="single" w:sz="4" w:space="0" w:color="BFBFBF"/>
              <w:left w:val="single" w:sz="4" w:space="0" w:color="BFBFBF"/>
              <w:bottom w:val="single" w:sz="4" w:space="0" w:color="BFBFBF"/>
              <w:right w:val="single" w:sz="4" w:space="0" w:color="BFBFBF"/>
            </w:tcBorders>
          </w:tcPr>
          <w:p w14:paraId="01BB3D38"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b/>
                <w:sz w:val="24"/>
                <w:szCs w:val="24"/>
              </w:rPr>
              <w:t>JUL</w:t>
            </w:r>
          </w:p>
        </w:tc>
      </w:tr>
      <w:tr w:rsidR="0013327C" w:rsidRPr="00142EB8" w14:paraId="043A5C6B" w14:textId="77777777" w:rsidTr="007174E4">
        <w:trPr>
          <w:trHeight w:val="1409"/>
        </w:trPr>
        <w:tc>
          <w:tcPr>
            <w:tcW w:w="2688" w:type="dxa"/>
            <w:tcBorders>
              <w:top w:val="single" w:sz="4" w:space="0" w:color="BFBFBF"/>
              <w:left w:val="single" w:sz="4" w:space="0" w:color="BFBFBF"/>
              <w:bottom w:val="single" w:sz="4" w:space="0" w:color="BFBFBF"/>
              <w:right w:val="single" w:sz="4" w:space="0" w:color="BFBFBF"/>
            </w:tcBorders>
            <w:shd w:val="clear" w:color="auto" w:fill="F2F2F2"/>
          </w:tcPr>
          <w:p w14:paraId="2C65BFD2" w14:textId="77777777" w:rsidR="0013327C" w:rsidRPr="00142EB8" w:rsidRDefault="0013327C" w:rsidP="007174E4">
            <w:pPr>
              <w:rPr>
                <w:rFonts w:ascii="Times New Roman" w:hAnsi="Times New Roman" w:cs="Times New Roman"/>
                <w:sz w:val="24"/>
                <w:szCs w:val="24"/>
              </w:rPr>
            </w:pPr>
            <w:r w:rsidRPr="00142EB8">
              <w:rPr>
                <w:rFonts w:ascii="Times New Roman" w:hAnsi="Times New Roman" w:cs="Times New Roman"/>
                <w:b/>
                <w:sz w:val="24"/>
                <w:szCs w:val="24"/>
              </w:rPr>
              <w:t xml:space="preserve">Proposal development, developing data extraction tool </w:t>
            </w:r>
          </w:p>
        </w:tc>
        <w:tc>
          <w:tcPr>
            <w:tcW w:w="911" w:type="dxa"/>
            <w:tcBorders>
              <w:top w:val="single" w:sz="4" w:space="0" w:color="BFBFBF"/>
              <w:left w:val="single" w:sz="4" w:space="0" w:color="BFBFBF"/>
              <w:bottom w:val="single" w:sz="4" w:space="0" w:color="BFBFBF"/>
              <w:right w:val="single" w:sz="4" w:space="0" w:color="BFBFBF"/>
            </w:tcBorders>
            <w:shd w:val="clear" w:color="auto" w:fill="000000"/>
          </w:tcPr>
          <w:p w14:paraId="567CAB3A"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c>
          <w:tcPr>
            <w:tcW w:w="762" w:type="dxa"/>
            <w:tcBorders>
              <w:top w:val="single" w:sz="4" w:space="0" w:color="BFBFBF"/>
              <w:left w:val="single" w:sz="4" w:space="0" w:color="BFBFBF"/>
              <w:bottom w:val="single" w:sz="4" w:space="0" w:color="BFBFBF"/>
              <w:right w:val="single" w:sz="4" w:space="0" w:color="BFBFBF"/>
            </w:tcBorders>
            <w:shd w:val="clear" w:color="auto" w:fill="000000"/>
          </w:tcPr>
          <w:p w14:paraId="07C1B9C3"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c>
          <w:tcPr>
            <w:tcW w:w="706" w:type="dxa"/>
            <w:tcBorders>
              <w:top w:val="single" w:sz="4" w:space="0" w:color="BFBFBF"/>
              <w:left w:val="single" w:sz="4" w:space="0" w:color="BFBFBF"/>
              <w:bottom w:val="single" w:sz="4" w:space="0" w:color="BFBFBF"/>
              <w:right w:val="single" w:sz="4" w:space="0" w:color="BFBFBF"/>
            </w:tcBorders>
            <w:shd w:val="clear" w:color="auto" w:fill="000000"/>
          </w:tcPr>
          <w:p w14:paraId="2E001601"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c>
          <w:tcPr>
            <w:tcW w:w="720" w:type="dxa"/>
            <w:tcBorders>
              <w:top w:val="single" w:sz="4" w:space="0" w:color="BFBFBF"/>
              <w:left w:val="single" w:sz="4" w:space="0" w:color="BFBFBF"/>
              <w:bottom w:val="single" w:sz="4" w:space="0" w:color="BFBFBF"/>
              <w:right w:val="single" w:sz="4" w:space="0" w:color="BFBFBF"/>
            </w:tcBorders>
            <w:shd w:val="clear" w:color="auto" w:fill="000000"/>
          </w:tcPr>
          <w:p w14:paraId="5458E5A0"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c>
          <w:tcPr>
            <w:tcW w:w="672" w:type="dxa"/>
            <w:tcBorders>
              <w:top w:val="single" w:sz="4" w:space="0" w:color="BFBFBF"/>
              <w:left w:val="single" w:sz="4" w:space="0" w:color="BFBFBF"/>
              <w:bottom w:val="single" w:sz="4" w:space="0" w:color="BFBFBF"/>
              <w:right w:val="single" w:sz="4" w:space="0" w:color="BFBFBF"/>
            </w:tcBorders>
            <w:shd w:val="clear" w:color="auto" w:fill="F2F2F2"/>
          </w:tcPr>
          <w:p w14:paraId="716E0CFB"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883" w:type="dxa"/>
            <w:tcBorders>
              <w:top w:val="single" w:sz="4" w:space="0" w:color="BFBFBF"/>
              <w:left w:val="single" w:sz="4" w:space="0" w:color="BFBFBF"/>
              <w:bottom w:val="single" w:sz="4" w:space="0" w:color="BFBFBF"/>
              <w:right w:val="single" w:sz="4" w:space="0" w:color="BFBFBF"/>
            </w:tcBorders>
            <w:shd w:val="clear" w:color="auto" w:fill="F2F2F2"/>
          </w:tcPr>
          <w:p w14:paraId="25F4DB91"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02" w:type="dxa"/>
            <w:tcBorders>
              <w:top w:val="single" w:sz="4" w:space="0" w:color="BFBFBF"/>
              <w:left w:val="single" w:sz="4" w:space="0" w:color="BFBFBF"/>
              <w:bottom w:val="single" w:sz="4" w:space="0" w:color="BFBFBF"/>
              <w:right w:val="single" w:sz="4" w:space="0" w:color="BFBFBF"/>
            </w:tcBorders>
            <w:shd w:val="clear" w:color="auto" w:fill="F2F2F2"/>
          </w:tcPr>
          <w:p w14:paraId="3D98102F"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590" w:type="dxa"/>
            <w:tcBorders>
              <w:top w:val="single" w:sz="4" w:space="0" w:color="BFBFBF"/>
              <w:left w:val="single" w:sz="4" w:space="0" w:color="BFBFBF"/>
              <w:bottom w:val="single" w:sz="4" w:space="0" w:color="BFBFBF"/>
              <w:right w:val="single" w:sz="4" w:space="0" w:color="BFBFBF"/>
            </w:tcBorders>
            <w:shd w:val="clear" w:color="auto" w:fill="F2F2F2"/>
          </w:tcPr>
          <w:p w14:paraId="0DB1B1FF"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31" w:type="dxa"/>
            <w:tcBorders>
              <w:top w:val="single" w:sz="4" w:space="0" w:color="BFBFBF"/>
              <w:left w:val="single" w:sz="4" w:space="0" w:color="BFBFBF"/>
              <w:bottom w:val="single" w:sz="4" w:space="0" w:color="BFBFBF"/>
              <w:right w:val="single" w:sz="4" w:space="0" w:color="BFBFBF"/>
            </w:tcBorders>
            <w:shd w:val="clear" w:color="auto" w:fill="F2F2F2"/>
          </w:tcPr>
          <w:p w14:paraId="75062BB8"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28" w:type="dxa"/>
            <w:tcBorders>
              <w:top w:val="single" w:sz="4" w:space="0" w:color="BFBFBF"/>
              <w:left w:val="single" w:sz="4" w:space="0" w:color="BFBFBF"/>
              <w:bottom w:val="single" w:sz="4" w:space="0" w:color="BFBFBF"/>
              <w:right w:val="single" w:sz="4" w:space="0" w:color="BFBFBF"/>
            </w:tcBorders>
            <w:shd w:val="clear" w:color="auto" w:fill="F2F2F2"/>
          </w:tcPr>
          <w:p w14:paraId="08C838DE"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r>
      <w:tr w:rsidR="0013327C" w:rsidRPr="00142EB8" w14:paraId="7C2FE3F1" w14:textId="77777777" w:rsidTr="007174E4">
        <w:trPr>
          <w:trHeight w:val="997"/>
        </w:trPr>
        <w:tc>
          <w:tcPr>
            <w:tcW w:w="2688" w:type="dxa"/>
            <w:tcBorders>
              <w:top w:val="single" w:sz="4" w:space="0" w:color="BFBFBF"/>
              <w:left w:val="single" w:sz="4" w:space="0" w:color="BFBFBF"/>
              <w:bottom w:val="single" w:sz="4" w:space="0" w:color="BFBFBF"/>
              <w:right w:val="single" w:sz="4" w:space="0" w:color="BFBFBF"/>
            </w:tcBorders>
          </w:tcPr>
          <w:p w14:paraId="4DF81816" w14:textId="77777777" w:rsidR="0013327C" w:rsidRPr="00142EB8" w:rsidRDefault="0013327C" w:rsidP="007174E4">
            <w:pPr>
              <w:rPr>
                <w:rFonts w:ascii="Times New Roman" w:hAnsi="Times New Roman" w:cs="Times New Roman"/>
                <w:sz w:val="24"/>
                <w:szCs w:val="24"/>
              </w:rPr>
            </w:pPr>
            <w:r w:rsidRPr="00142EB8">
              <w:rPr>
                <w:rFonts w:ascii="Times New Roman" w:hAnsi="Times New Roman" w:cs="Times New Roman"/>
                <w:b/>
                <w:sz w:val="24"/>
                <w:szCs w:val="24"/>
              </w:rPr>
              <w:t xml:space="preserve">Ethics review, approval and clearance </w:t>
            </w:r>
          </w:p>
        </w:tc>
        <w:tc>
          <w:tcPr>
            <w:tcW w:w="911" w:type="dxa"/>
            <w:tcBorders>
              <w:top w:val="single" w:sz="4" w:space="0" w:color="BFBFBF"/>
              <w:left w:val="single" w:sz="4" w:space="0" w:color="BFBFBF"/>
              <w:bottom w:val="single" w:sz="4" w:space="0" w:color="BFBFBF"/>
              <w:right w:val="single" w:sz="4" w:space="0" w:color="BFBFBF"/>
            </w:tcBorders>
          </w:tcPr>
          <w:p w14:paraId="41C0EC11"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62" w:type="dxa"/>
            <w:tcBorders>
              <w:top w:val="single" w:sz="4" w:space="0" w:color="BFBFBF"/>
              <w:left w:val="single" w:sz="4" w:space="0" w:color="BFBFBF"/>
              <w:bottom w:val="single" w:sz="4" w:space="0" w:color="BFBFBF"/>
              <w:right w:val="single" w:sz="4" w:space="0" w:color="BFBFBF"/>
            </w:tcBorders>
          </w:tcPr>
          <w:p w14:paraId="212D2D7B"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06" w:type="dxa"/>
            <w:tcBorders>
              <w:top w:val="single" w:sz="4" w:space="0" w:color="BFBFBF"/>
              <w:left w:val="single" w:sz="4" w:space="0" w:color="BFBFBF"/>
              <w:bottom w:val="single" w:sz="4" w:space="0" w:color="BFBFBF"/>
              <w:right w:val="single" w:sz="4" w:space="0" w:color="BFBFBF"/>
            </w:tcBorders>
          </w:tcPr>
          <w:p w14:paraId="5D369156"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20" w:type="dxa"/>
            <w:tcBorders>
              <w:top w:val="single" w:sz="4" w:space="0" w:color="BFBFBF"/>
              <w:left w:val="single" w:sz="4" w:space="0" w:color="BFBFBF"/>
              <w:bottom w:val="single" w:sz="4" w:space="0" w:color="BFBFBF"/>
              <w:right w:val="single" w:sz="4" w:space="0" w:color="BFBFBF"/>
            </w:tcBorders>
          </w:tcPr>
          <w:p w14:paraId="11727F4A"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72" w:type="dxa"/>
            <w:tcBorders>
              <w:top w:val="single" w:sz="4" w:space="0" w:color="BFBFBF"/>
              <w:left w:val="single" w:sz="4" w:space="0" w:color="BFBFBF"/>
              <w:bottom w:val="single" w:sz="4" w:space="0" w:color="BFBFBF"/>
              <w:right w:val="single" w:sz="4" w:space="0" w:color="BFBFBF"/>
            </w:tcBorders>
            <w:shd w:val="clear" w:color="auto" w:fill="000000"/>
          </w:tcPr>
          <w:p w14:paraId="7089F4B3"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c>
          <w:tcPr>
            <w:tcW w:w="883" w:type="dxa"/>
            <w:tcBorders>
              <w:top w:val="single" w:sz="4" w:space="0" w:color="BFBFBF"/>
              <w:left w:val="single" w:sz="4" w:space="0" w:color="BFBFBF"/>
              <w:bottom w:val="single" w:sz="4" w:space="0" w:color="BFBFBF"/>
              <w:right w:val="single" w:sz="4" w:space="0" w:color="BFBFBF"/>
            </w:tcBorders>
            <w:shd w:val="clear" w:color="auto" w:fill="000000"/>
          </w:tcPr>
          <w:p w14:paraId="777D676B"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c>
          <w:tcPr>
            <w:tcW w:w="702" w:type="dxa"/>
            <w:tcBorders>
              <w:top w:val="single" w:sz="4" w:space="0" w:color="BFBFBF"/>
              <w:left w:val="single" w:sz="4" w:space="0" w:color="BFBFBF"/>
              <w:bottom w:val="single" w:sz="4" w:space="0" w:color="BFBFBF"/>
              <w:right w:val="single" w:sz="4" w:space="0" w:color="BFBFBF"/>
            </w:tcBorders>
          </w:tcPr>
          <w:p w14:paraId="20F55F65"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590" w:type="dxa"/>
            <w:tcBorders>
              <w:top w:val="single" w:sz="4" w:space="0" w:color="BFBFBF"/>
              <w:left w:val="single" w:sz="4" w:space="0" w:color="BFBFBF"/>
              <w:bottom w:val="single" w:sz="4" w:space="0" w:color="BFBFBF"/>
              <w:right w:val="single" w:sz="4" w:space="0" w:color="BFBFBF"/>
            </w:tcBorders>
          </w:tcPr>
          <w:p w14:paraId="00597259"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31" w:type="dxa"/>
            <w:tcBorders>
              <w:top w:val="single" w:sz="4" w:space="0" w:color="BFBFBF"/>
              <w:left w:val="single" w:sz="4" w:space="0" w:color="BFBFBF"/>
              <w:bottom w:val="single" w:sz="4" w:space="0" w:color="BFBFBF"/>
              <w:right w:val="single" w:sz="4" w:space="0" w:color="BFBFBF"/>
            </w:tcBorders>
          </w:tcPr>
          <w:p w14:paraId="02846CD8"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28" w:type="dxa"/>
            <w:tcBorders>
              <w:top w:val="single" w:sz="4" w:space="0" w:color="BFBFBF"/>
              <w:left w:val="single" w:sz="4" w:space="0" w:color="BFBFBF"/>
              <w:bottom w:val="single" w:sz="4" w:space="0" w:color="BFBFBF"/>
              <w:right w:val="single" w:sz="4" w:space="0" w:color="BFBFBF"/>
            </w:tcBorders>
          </w:tcPr>
          <w:p w14:paraId="2D5049E7"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r>
      <w:tr w:rsidR="0013327C" w:rsidRPr="00142EB8" w14:paraId="1F70D8DA" w14:textId="77777777" w:rsidTr="007174E4">
        <w:trPr>
          <w:trHeight w:val="584"/>
        </w:trPr>
        <w:tc>
          <w:tcPr>
            <w:tcW w:w="2688" w:type="dxa"/>
            <w:tcBorders>
              <w:top w:val="single" w:sz="4" w:space="0" w:color="BFBFBF"/>
              <w:left w:val="single" w:sz="4" w:space="0" w:color="BFBFBF"/>
              <w:bottom w:val="single" w:sz="4" w:space="0" w:color="BFBFBF"/>
              <w:right w:val="single" w:sz="4" w:space="0" w:color="BFBFBF"/>
            </w:tcBorders>
            <w:shd w:val="clear" w:color="auto" w:fill="F2F2F2"/>
          </w:tcPr>
          <w:p w14:paraId="544887FA" w14:textId="77777777" w:rsidR="0013327C" w:rsidRPr="00142EB8" w:rsidRDefault="0013327C" w:rsidP="007174E4">
            <w:pPr>
              <w:rPr>
                <w:rFonts w:ascii="Times New Roman" w:hAnsi="Times New Roman" w:cs="Times New Roman"/>
                <w:sz w:val="24"/>
                <w:szCs w:val="24"/>
              </w:rPr>
            </w:pPr>
            <w:r w:rsidRPr="00142EB8">
              <w:rPr>
                <w:rFonts w:ascii="Times New Roman" w:hAnsi="Times New Roman" w:cs="Times New Roman"/>
                <w:b/>
                <w:sz w:val="24"/>
                <w:szCs w:val="24"/>
              </w:rPr>
              <w:t xml:space="preserve">Data entry and cleaning </w:t>
            </w:r>
          </w:p>
        </w:tc>
        <w:tc>
          <w:tcPr>
            <w:tcW w:w="911" w:type="dxa"/>
            <w:tcBorders>
              <w:top w:val="single" w:sz="4" w:space="0" w:color="BFBFBF"/>
              <w:left w:val="single" w:sz="4" w:space="0" w:color="BFBFBF"/>
              <w:bottom w:val="single" w:sz="4" w:space="0" w:color="BFBFBF"/>
              <w:right w:val="single" w:sz="4" w:space="0" w:color="BFBFBF"/>
            </w:tcBorders>
            <w:shd w:val="clear" w:color="auto" w:fill="F2F2F2"/>
          </w:tcPr>
          <w:p w14:paraId="7D9567F2"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62" w:type="dxa"/>
            <w:tcBorders>
              <w:top w:val="single" w:sz="4" w:space="0" w:color="BFBFBF"/>
              <w:left w:val="single" w:sz="4" w:space="0" w:color="BFBFBF"/>
              <w:bottom w:val="single" w:sz="4" w:space="0" w:color="BFBFBF"/>
              <w:right w:val="single" w:sz="4" w:space="0" w:color="BFBFBF"/>
            </w:tcBorders>
            <w:shd w:val="clear" w:color="auto" w:fill="F2F2F2"/>
          </w:tcPr>
          <w:p w14:paraId="67C19EDB"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06" w:type="dxa"/>
            <w:tcBorders>
              <w:top w:val="single" w:sz="4" w:space="0" w:color="BFBFBF"/>
              <w:left w:val="single" w:sz="4" w:space="0" w:color="BFBFBF"/>
              <w:bottom w:val="single" w:sz="4" w:space="0" w:color="BFBFBF"/>
              <w:right w:val="single" w:sz="4" w:space="0" w:color="BFBFBF"/>
            </w:tcBorders>
            <w:shd w:val="clear" w:color="auto" w:fill="F2F2F2"/>
          </w:tcPr>
          <w:p w14:paraId="09F81FCA"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20" w:type="dxa"/>
            <w:tcBorders>
              <w:top w:val="single" w:sz="4" w:space="0" w:color="BFBFBF"/>
              <w:left w:val="single" w:sz="4" w:space="0" w:color="BFBFBF"/>
              <w:bottom w:val="single" w:sz="4" w:space="0" w:color="BFBFBF"/>
              <w:right w:val="single" w:sz="4" w:space="0" w:color="BFBFBF"/>
            </w:tcBorders>
          </w:tcPr>
          <w:p w14:paraId="0EE82EE6"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72" w:type="dxa"/>
            <w:tcBorders>
              <w:top w:val="single" w:sz="4" w:space="0" w:color="BFBFBF"/>
              <w:left w:val="single" w:sz="4" w:space="0" w:color="BFBFBF"/>
              <w:bottom w:val="single" w:sz="4" w:space="0" w:color="BFBFBF"/>
              <w:right w:val="single" w:sz="4" w:space="0" w:color="BFBFBF"/>
            </w:tcBorders>
          </w:tcPr>
          <w:p w14:paraId="7C5BEEF7"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883" w:type="dxa"/>
            <w:tcBorders>
              <w:top w:val="single" w:sz="4" w:space="0" w:color="BFBFBF"/>
              <w:left w:val="single" w:sz="4" w:space="0" w:color="BFBFBF"/>
              <w:bottom w:val="single" w:sz="4" w:space="0" w:color="BFBFBF"/>
              <w:right w:val="single" w:sz="4" w:space="0" w:color="BFBFBF"/>
            </w:tcBorders>
          </w:tcPr>
          <w:p w14:paraId="6DEB6985"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02" w:type="dxa"/>
            <w:tcBorders>
              <w:top w:val="single" w:sz="4" w:space="0" w:color="BFBFBF"/>
              <w:left w:val="single" w:sz="4" w:space="0" w:color="BFBFBF"/>
              <w:bottom w:val="single" w:sz="4" w:space="0" w:color="BFBFBF"/>
              <w:right w:val="single" w:sz="4" w:space="0" w:color="BFBFBF"/>
            </w:tcBorders>
            <w:shd w:val="clear" w:color="auto" w:fill="000000"/>
          </w:tcPr>
          <w:p w14:paraId="7B3C13D1"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c>
          <w:tcPr>
            <w:tcW w:w="590" w:type="dxa"/>
            <w:tcBorders>
              <w:top w:val="single" w:sz="4" w:space="0" w:color="BFBFBF"/>
              <w:left w:val="single" w:sz="4" w:space="0" w:color="BFBFBF"/>
              <w:bottom w:val="single" w:sz="4" w:space="0" w:color="BFBFBF"/>
              <w:right w:val="single" w:sz="4" w:space="0" w:color="BFBFBF"/>
            </w:tcBorders>
            <w:shd w:val="clear" w:color="auto" w:fill="F2F2F2"/>
          </w:tcPr>
          <w:p w14:paraId="4AD1268C"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31" w:type="dxa"/>
            <w:tcBorders>
              <w:top w:val="single" w:sz="4" w:space="0" w:color="BFBFBF"/>
              <w:left w:val="single" w:sz="4" w:space="0" w:color="BFBFBF"/>
              <w:bottom w:val="single" w:sz="4" w:space="0" w:color="BFBFBF"/>
              <w:right w:val="single" w:sz="4" w:space="0" w:color="BFBFBF"/>
            </w:tcBorders>
            <w:shd w:val="clear" w:color="auto" w:fill="F2F2F2"/>
          </w:tcPr>
          <w:p w14:paraId="54C098CF"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28" w:type="dxa"/>
            <w:tcBorders>
              <w:top w:val="single" w:sz="4" w:space="0" w:color="BFBFBF"/>
              <w:left w:val="single" w:sz="4" w:space="0" w:color="BFBFBF"/>
              <w:bottom w:val="single" w:sz="4" w:space="0" w:color="BFBFBF"/>
              <w:right w:val="single" w:sz="4" w:space="0" w:color="BFBFBF"/>
            </w:tcBorders>
            <w:shd w:val="clear" w:color="auto" w:fill="F2F2F2"/>
          </w:tcPr>
          <w:p w14:paraId="7BB30FC4"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r>
      <w:tr w:rsidR="0013327C" w:rsidRPr="00142EB8" w14:paraId="0E1D6CC3" w14:textId="77777777" w:rsidTr="007174E4">
        <w:trPr>
          <w:trHeight w:val="584"/>
        </w:trPr>
        <w:tc>
          <w:tcPr>
            <w:tcW w:w="2688" w:type="dxa"/>
            <w:tcBorders>
              <w:top w:val="single" w:sz="4" w:space="0" w:color="BFBFBF"/>
              <w:left w:val="single" w:sz="4" w:space="0" w:color="BFBFBF"/>
              <w:bottom w:val="single" w:sz="4" w:space="0" w:color="BFBFBF"/>
              <w:right w:val="single" w:sz="4" w:space="0" w:color="BFBFBF"/>
            </w:tcBorders>
          </w:tcPr>
          <w:p w14:paraId="473BE668" w14:textId="77777777" w:rsidR="0013327C" w:rsidRPr="00142EB8" w:rsidRDefault="0013327C" w:rsidP="007174E4">
            <w:pPr>
              <w:rPr>
                <w:rFonts w:ascii="Times New Roman" w:hAnsi="Times New Roman" w:cs="Times New Roman"/>
                <w:sz w:val="24"/>
                <w:szCs w:val="24"/>
              </w:rPr>
            </w:pPr>
            <w:r w:rsidRPr="00142EB8">
              <w:rPr>
                <w:rFonts w:ascii="Times New Roman" w:hAnsi="Times New Roman" w:cs="Times New Roman"/>
                <w:b/>
                <w:sz w:val="24"/>
                <w:szCs w:val="24"/>
              </w:rPr>
              <w:lastRenderedPageBreak/>
              <w:t xml:space="preserve">Data analysis </w:t>
            </w:r>
          </w:p>
        </w:tc>
        <w:tc>
          <w:tcPr>
            <w:tcW w:w="911" w:type="dxa"/>
            <w:tcBorders>
              <w:top w:val="single" w:sz="4" w:space="0" w:color="BFBFBF"/>
              <w:left w:val="single" w:sz="4" w:space="0" w:color="BFBFBF"/>
              <w:bottom w:val="single" w:sz="4" w:space="0" w:color="BFBFBF"/>
              <w:right w:val="single" w:sz="4" w:space="0" w:color="BFBFBF"/>
            </w:tcBorders>
          </w:tcPr>
          <w:p w14:paraId="6002FAFF"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62" w:type="dxa"/>
            <w:tcBorders>
              <w:top w:val="single" w:sz="4" w:space="0" w:color="BFBFBF"/>
              <w:left w:val="single" w:sz="4" w:space="0" w:color="BFBFBF"/>
              <w:bottom w:val="single" w:sz="4" w:space="0" w:color="BFBFBF"/>
              <w:right w:val="single" w:sz="4" w:space="0" w:color="BFBFBF"/>
            </w:tcBorders>
          </w:tcPr>
          <w:p w14:paraId="6D63F2F5"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06" w:type="dxa"/>
            <w:tcBorders>
              <w:top w:val="single" w:sz="4" w:space="0" w:color="BFBFBF"/>
              <w:left w:val="single" w:sz="4" w:space="0" w:color="BFBFBF"/>
              <w:bottom w:val="single" w:sz="4" w:space="0" w:color="BFBFBF"/>
              <w:right w:val="single" w:sz="4" w:space="0" w:color="BFBFBF"/>
            </w:tcBorders>
          </w:tcPr>
          <w:p w14:paraId="2E6C978B"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20" w:type="dxa"/>
            <w:tcBorders>
              <w:top w:val="single" w:sz="4" w:space="0" w:color="BFBFBF"/>
              <w:left w:val="single" w:sz="4" w:space="0" w:color="BFBFBF"/>
              <w:bottom w:val="single" w:sz="4" w:space="0" w:color="BFBFBF"/>
              <w:right w:val="single" w:sz="4" w:space="0" w:color="BFBFBF"/>
            </w:tcBorders>
          </w:tcPr>
          <w:p w14:paraId="16FE70C3"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72" w:type="dxa"/>
            <w:tcBorders>
              <w:top w:val="single" w:sz="4" w:space="0" w:color="BFBFBF"/>
              <w:left w:val="single" w:sz="4" w:space="0" w:color="BFBFBF"/>
              <w:bottom w:val="single" w:sz="4" w:space="0" w:color="BFBFBF"/>
              <w:right w:val="single" w:sz="4" w:space="0" w:color="BFBFBF"/>
            </w:tcBorders>
          </w:tcPr>
          <w:p w14:paraId="3A38A455"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A23C33"/>
                <w:sz w:val="24"/>
                <w:szCs w:val="24"/>
              </w:rPr>
              <w:t xml:space="preserve"> </w:t>
            </w:r>
          </w:p>
        </w:tc>
        <w:tc>
          <w:tcPr>
            <w:tcW w:w="883" w:type="dxa"/>
            <w:tcBorders>
              <w:top w:val="single" w:sz="4" w:space="0" w:color="BFBFBF"/>
              <w:left w:val="single" w:sz="4" w:space="0" w:color="BFBFBF"/>
              <w:bottom w:val="single" w:sz="4" w:space="0" w:color="BFBFBF"/>
              <w:right w:val="single" w:sz="4" w:space="0" w:color="BFBFBF"/>
            </w:tcBorders>
          </w:tcPr>
          <w:p w14:paraId="2A053343"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A23C33"/>
                <w:sz w:val="24"/>
                <w:szCs w:val="24"/>
              </w:rPr>
              <w:t xml:space="preserve"> </w:t>
            </w:r>
          </w:p>
        </w:tc>
        <w:tc>
          <w:tcPr>
            <w:tcW w:w="702" w:type="dxa"/>
            <w:tcBorders>
              <w:top w:val="single" w:sz="4" w:space="0" w:color="BFBFBF"/>
              <w:left w:val="single" w:sz="4" w:space="0" w:color="BFBFBF"/>
              <w:bottom w:val="single" w:sz="4" w:space="0" w:color="BFBFBF"/>
              <w:right w:val="single" w:sz="4" w:space="0" w:color="BFBFBF"/>
            </w:tcBorders>
          </w:tcPr>
          <w:p w14:paraId="248C57C6"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590" w:type="dxa"/>
            <w:tcBorders>
              <w:top w:val="single" w:sz="4" w:space="0" w:color="BFBFBF"/>
              <w:left w:val="single" w:sz="4" w:space="0" w:color="BFBFBF"/>
              <w:bottom w:val="single" w:sz="4" w:space="0" w:color="BFBFBF"/>
              <w:right w:val="single" w:sz="4" w:space="0" w:color="BFBFBF"/>
            </w:tcBorders>
            <w:shd w:val="clear" w:color="auto" w:fill="000000"/>
          </w:tcPr>
          <w:p w14:paraId="371016E1"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c>
          <w:tcPr>
            <w:tcW w:w="631" w:type="dxa"/>
            <w:tcBorders>
              <w:top w:val="single" w:sz="4" w:space="0" w:color="BFBFBF"/>
              <w:left w:val="single" w:sz="4" w:space="0" w:color="BFBFBF"/>
              <w:bottom w:val="single" w:sz="4" w:space="0" w:color="BFBFBF"/>
              <w:right w:val="single" w:sz="4" w:space="0" w:color="BFBFBF"/>
            </w:tcBorders>
          </w:tcPr>
          <w:p w14:paraId="7F4A884E"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28" w:type="dxa"/>
            <w:tcBorders>
              <w:top w:val="single" w:sz="4" w:space="0" w:color="BFBFBF"/>
              <w:left w:val="single" w:sz="4" w:space="0" w:color="BFBFBF"/>
              <w:bottom w:val="single" w:sz="4" w:space="0" w:color="BFBFBF"/>
              <w:right w:val="single" w:sz="4" w:space="0" w:color="BFBFBF"/>
            </w:tcBorders>
          </w:tcPr>
          <w:p w14:paraId="695C1EFB"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r>
      <w:tr w:rsidR="0013327C" w:rsidRPr="00142EB8" w14:paraId="0CEC6AB2" w14:textId="77777777" w:rsidTr="007174E4">
        <w:trPr>
          <w:trHeight w:val="584"/>
        </w:trPr>
        <w:tc>
          <w:tcPr>
            <w:tcW w:w="2688" w:type="dxa"/>
            <w:tcBorders>
              <w:top w:val="single" w:sz="4" w:space="0" w:color="BFBFBF"/>
              <w:left w:val="single" w:sz="4" w:space="0" w:color="BFBFBF"/>
              <w:bottom w:val="single" w:sz="4" w:space="0" w:color="BFBFBF"/>
              <w:right w:val="single" w:sz="4" w:space="0" w:color="BFBFBF"/>
            </w:tcBorders>
            <w:shd w:val="clear" w:color="auto" w:fill="F2F2F2"/>
          </w:tcPr>
          <w:p w14:paraId="19E225B2" w14:textId="77777777" w:rsidR="0013327C" w:rsidRPr="00142EB8" w:rsidRDefault="0013327C" w:rsidP="007174E4">
            <w:pPr>
              <w:rPr>
                <w:rFonts w:ascii="Times New Roman" w:hAnsi="Times New Roman" w:cs="Times New Roman"/>
                <w:sz w:val="24"/>
                <w:szCs w:val="24"/>
              </w:rPr>
            </w:pPr>
            <w:r w:rsidRPr="00142EB8">
              <w:rPr>
                <w:rFonts w:ascii="Times New Roman" w:hAnsi="Times New Roman" w:cs="Times New Roman"/>
                <w:b/>
                <w:sz w:val="24"/>
                <w:szCs w:val="24"/>
              </w:rPr>
              <w:t xml:space="preserve">Write up </w:t>
            </w:r>
          </w:p>
        </w:tc>
        <w:tc>
          <w:tcPr>
            <w:tcW w:w="911" w:type="dxa"/>
            <w:tcBorders>
              <w:top w:val="single" w:sz="4" w:space="0" w:color="BFBFBF"/>
              <w:left w:val="single" w:sz="4" w:space="0" w:color="BFBFBF"/>
              <w:bottom w:val="single" w:sz="4" w:space="0" w:color="BFBFBF"/>
              <w:right w:val="single" w:sz="4" w:space="0" w:color="BFBFBF"/>
            </w:tcBorders>
            <w:shd w:val="clear" w:color="auto" w:fill="F2F2F2"/>
          </w:tcPr>
          <w:p w14:paraId="13CCE1A1"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62" w:type="dxa"/>
            <w:tcBorders>
              <w:top w:val="single" w:sz="4" w:space="0" w:color="BFBFBF"/>
              <w:left w:val="single" w:sz="4" w:space="0" w:color="BFBFBF"/>
              <w:bottom w:val="single" w:sz="4" w:space="0" w:color="BFBFBF"/>
              <w:right w:val="single" w:sz="4" w:space="0" w:color="BFBFBF"/>
            </w:tcBorders>
            <w:shd w:val="clear" w:color="auto" w:fill="F2F2F2"/>
          </w:tcPr>
          <w:p w14:paraId="35F8874D"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06" w:type="dxa"/>
            <w:tcBorders>
              <w:top w:val="single" w:sz="4" w:space="0" w:color="BFBFBF"/>
              <w:left w:val="single" w:sz="4" w:space="0" w:color="BFBFBF"/>
              <w:bottom w:val="single" w:sz="4" w:space="0" w:color="BFBFBF"/>
              <w:right w:val="single" w:sz="4" w:space="0" w:color="BFBFBF"/>
            </w:tcBorders>
            <w:shd w:val="clear" w:color="auto" w:fill="F2F2F2"/>
          </w:tcPr>
          <w:p w14:paraId="1A6B5617"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20" w:type="dxa"/>
            <w:tcBorders>
              <w:top w:val="single" w:sz="4" w:space="0" w:color="BFBFBF"/>
              <w:left w:val="single" w:sz="4" w:space="0" w:color="BFBFBF"/>
              <w:bottom w:val="single" w:sz="4" w:space="0" w:color="BFBFBF"/>
              <w:right w:val="single" w:sz="4" w:space="0" w:color="BFBFBF"/>
            </w:tcBorders>
            <w:shd w:val="clear" w:color="auto" w:fill="F2F2F2"/>
          </w:tcPr>
          <w:p w14:paraId="22D25DEA"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72" w:type="dxa"/>
            <w:tcBorders>
              <w:top w:val="single" w:sz="4" w:space="0" w:color="BFBFBF"/>
              <w:left w:val="single" w:sz="4" w:space="0" w:color="BFBFBF"/>
              <w:bottom w:val="single" w:sz="4" w:space="0" w:color="BFBFBF"/>
              <w:right w:val="single" w:sz="4" w:space="0" w:color="BFBFBF"/>
            </w:tcBorders>
            <w:shd w:val="clear" w:color="auto" w:fill="F2F2F2"/>
          </w:tcPr>
          <w:p w14:paraId="7B699E44"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A23C33"/>
                <w:sz w:val="24"/>
                <w:szCs w:val="24"/>
              </w:rPr>
              <w:t xml:space="preserve"> </w:t>
            </w:r>
          </w:p>
        </w:tc>
        <w:tc>
          <w:tcPr>
            <w:tcW w:w="883" w:type="dxa"/>
            <w:tcBorders>
              <w:top w:val="single" w:sz="4" w:space="0" w:color="BFBFBF"/>
              <w:left w:val="single" w:sz="4" w:space="0" w:color="BFBFBF"/>
              <w:bottom w:val="single" w:sz="4" w:space="0" w:color="BFBFBF"/>
              <w:right w:val="single" w:sz="4" w:space="0" w:color="BFBFBF"/>
            </w:tcBorders>
          </w:tcPr>
          <w:p w14:paraId="1DE982C1"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A23C33"/>
                <w:sz w:val="24"/>
                <w:szCs w:val="24"/>
              </w:rPr>
              <w:t xml:space="preserve"> </w:t>
            </w:r>
          </w:p>
        </w:tc>
        <w:tc>
          <w:tcPr>
            <w:tcW w:w="702" w:type="dxa"/>
            <w:tcBorders>
              <w:top w:val="single" w:sz="4" w:space="0" w:color="BFBFBF"/>
              <w:left w:val="single" w:sz="4" w:space="0" w:color="BFBFBF"/>
              <w:bottom w:val="single" w:sz="4" w:space="0" w:color="BFBFBF"/>
              <w:right w:val="single" w:sz="4" w:space="0" w:color="BFBFBF"/>
            </w:tcBorders>
          </w:tcPr>
          <w:p w14:paraId="2249D6E5"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590" w:type="dxa"/>
            <w:tcBorders>
              <w:top w:val="single" w:sz="4" w:space="0" w:color="BFBFBF"/>
              <w:left w:val="single" w:sz="4" w:space="0" w:color="BFBFBF"/>
              <w:bottom w:val="single" w:sz="4" w:space="0" w:color="BFBFBF"/>
              <w:right w:val="single" w:sz="4" w:space="0" w:color="BFBFBF"/>
            </w:tcBorders>
          </w:tcPr>
          <w:p w14:paraId="05C5CC30"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31" w:type="dxa"/>
            <w:tcBorders>
              <w:top w:val="single" w:sz="4" w:space="0" w:color="BFBFBF"/>
              <w:left w:val="single" w:sz="4" w:space="0" w:color="BFBFBF"/>
              <w:bottom w:val="single" w:sz="4" w:space="0" w:color="BFBFBF"/>
              <w:right w:val="single" w:sz="4" w:space="0" w:color="BFBFBF"/>
            </w:tcBorders>
            <w:shd w:val="clear" w:color="auto" w:fill="000000"/>
          </w:tcPr>
          <w:p w14:paraId="1036FB5F"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c>
          <w:tcPr>
            <w:tcW w:w="628" w:type="dxa"/>
            <w:tcBorders>
              <w:top w:val="single" w:sz="4" w:space="0" w:color="BFBFBF"/>
              <w:left w:val="single" w:sz="4" w:space="0" w:color="BFBFBF"/>
              <w:bottom w:val="single" w:sz="4" w:space="0" w:color="BFBFBF"/>
              <w:right w:val="single" w:sz="4" w:space="0" w:color="BFBFBF"/>
            </w:tcBorders>
          </w:tcPr>
          <w:p w14:paraId="28562C40"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r>
      <w:tr w:rsidR="0013327C" w:rsidRPr="00142EB8" w14:paraId="3F82A46F" w14:textId="77777777" w:rsidTr="007174E4">
        <w:trPr>
          <w:trHeight w:val="582"/>
        </w:trPr>
        <w:tc>
          <w:tcPr>
            <w:tcW w:w="2688" w:type="dxa"/>
            <w:tcBorders>
              <w:top w:val="single" w:sz="4" w:space="0" w:color="BFBFBF"/>
              <w:left w:val="single" w:sz="4" w:space="0" w:color="BFBFBF"/>
              <w:bottom w:val="single" w:sz="4" w:space="0" w:color="BFBFBF"/>
              <w:right w:val="single" w:sz="4" w:space="0" w:color="BFBFBF"/>
            </w:tcBorders>
          </w:tcPr>
          <w:p w14:paraId="64C5E12A" w14:textId="77777777" w:rsidR="0013327C" w:rsidRPr="00142EB8" w:rsidRDefault="0013327C" w:rsidP="007174E4">
            <w:pPr>
              <w:rPr>
                <w:rFonts w:ascii="Times New Roman" w:hAnsi="Times New Roman" w:cs="Times New Roman"/>
                <w:sz w:val="24"/>
                <w:szCs w:val="24"/>
              </w:rPr>
            </w:pPr>
            <w:r w:rsidRPr="00142EB8">
              <w:rPr>
                <w:rFonts w:ascii="Times New Roman" w:hAnsi="Times New Roman" w:cs="Times New Roman"/>
                <w:b/>
                <w:sz w:val="24"/>
                <w:szCs w:val="24"/>
              </w:rPr>
              <w:t xml:space="preserve">Dissemination  </w:t>
            </w:r>
          </w:p>
        </w:tc>
        <w:tc>
          <w:tcPr>
            <w:tcW w:w="911" w:type="dxa"/>
            <w:tcBorders>
              <w:top w:val="single" w:sz="4" w:space="0" w:color="BFBFBF"/>
              <w:left w:val="single" w:sz="4" w:space="0" w:color="BFBFBF"/>
              <w:bottom w:val="single" w:sz="4" w:space="0" w:color="BFBFBF"/>
              <w:right w:val="single" w:sz="4" w:space="0" w:color="BFBFBF"/>
            </w:tcBorders>
          </w:tcPr>
          <w:p w14:paraId="165BF26F"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62" w:type="dxa"/>
            <w:tcBorders>
              <w:top w:val="single" w:sz="4" w:space="0" w:color="BFBFBF"/>
              <w:left w:val="single" w:sz="4" w:space="0" w:color="BFBFBF"/>
              <w:bottom w:val="single" w:sz="4" w:space="0" w:color="BFBFBF"/>
              <w:right w:val="single" w:sz="4" w:space="0" w:color="BFBFBF"/>
            </w:tcBorders>
          </w:tcPr>
          <w:p w14:paraId="60704E8F"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06" w:type="dxa"/>
            <w:tcBorders>
              <w:top w:val="single" w:sz="4" w:space="0" w:color="BFBFBF"/>
              <w:left w:val="single" w:sz="4" w:space="0" w:color="BFBFBF"/>
              <w:bottom w:val="single" w:sz="4" w:space="0" w:color="BFBFBF"/>
              <w:right w:val="single" w:sz="4" w:space="0" w:color="BFBFBF"/>
            </w:tcBorders>
          </w:tcPr>
          <w:p w14:paraId="4F82B3AB"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20" w:type="dxa"/>
            <w:tcBorders>
              <w:top w:val="single" w:sz="4" w:space="0" w:color="BFBFBF"/>
              <w:left w:val="single" w:sz="4" w:space="0" w:color="BFBFBF"/>
              <w:bottom w:val="single" w:sz="4" w:space="0" w:color="BFBFBF"/>
              <w:right w:val="single" w:sz="4" w:space="0" w:color="BFBFBF"/>
            </w:tcBorders>
          </w:tcPr>
          <w:p w14:paraId="64337A4A"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72" w:type="dxa"/>
            <w:tcBorders>
              <w:top w:val="single" w:sz="4" w:space="0" w:color="BFBFBF"/>
              <w:left w:val="single" w:sz="4" w:space="0" w:color="BFBFBF"/>
              <w:bottom w:val="single" w:sz="4" w:space="0" w:color="BFBFBF"/>
              <w:right w:val="single" w:sz="4" w:space="0" w:color="BFBFBF"/>
            </w:tcBorders>
          </w:tcPr>
          <w:p w14:paraId="25E75A8D"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883" w:type="dxa"/>
            <w:tcBorders>
              <w:top w:val="single" w:sz="4" w:space="0" w:color="BFBFBF"/>
              <w:left w:val="single" w:sz="4" w:space="0" w:color="BFBFBF"/>
              <w:bottom w:val="single" w:sz="4" w:space="0" w:color="BFBFBF"/>
              <w:right w:val="single" w:sz="4" w:space="0" w:color="BFBFBF"/>
            </w:tcBorders>
          </w:tcPr>
          <w:p w14:paraId="37899BC1"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702" w:type="dxa"/>
            <w:tcBorders>
              <w:top w:val="single" w:sz="4" w:space="0" w:color="BFBFBF"/>
              <w:left w:val="single" w:sz="4" w:space="0" w:color="BFBFBF"/>
              <w:bottom w:val="single" w:sz="4" w:space="0" w:color="BFBFBF"/>
              <w:right w:val="single" w:sz="4" w:space="0" w:color="BFBFBF"/>
            </w:tcBorders>
          </w:tcPr>
          <w:p w14:paraId="35290E5C"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590" w:type="dxa"/>
            <w:tcBorders>
              <w:top w:val="single" w:sz="4" w:space="0" w:color="BFBFBF"/>
              <w:left w:val="single" w:sz="4" w:space="0" w:color="BFBFBF"/>
              <w:bottom w:val="single" w:sz="4" w:space="0" w:color="BFBFBF"/>
              <w:right w:val="single" w:sz="4" w:space="0" w:color="BFBFBF"/>
            </w:tcBorders>
          </w:tcPr>
          <w:p w14:paraId="0318B1B2" w14:textId="77777777" w:rsidR="0013327C" w:rsidRPr="00142EB8" w:rsidRDefault="0013327C"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31" w:type="dxa"/>
            <w:tcBorders>
              <w:top w:val="single" w:sz="4" w:space="0" w:color="BFBFBF"/>
              <w:left w:val="single" w:sz="4" w:space="0" w:color="BFBFBF"/>
              <w:bottom w:val="single" w:sz="4" w:space="0" w:color="BFBFBF"/>
              <w:right w:val="single" w:sz="4" w:space="0" w:color="BFBFBF"/>
            </w:tcBorders>
          </w:tcPr>
          <w:p w14:paraId="6565BE12"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628" w:type="dxa"/>
            <w:tcBorders>
              <w:top w:val="single" w:sz="4" w:space="0" w:color="BFBFBF"/>
              <w:left w:val="single" w:sz="4" w:space="0" w:color="BFBFBF"/>
              <w:bottom w:val="single" w:sz="4" w:space="0" w:color="BFBFBF"/>
              <w:right w:val="single" w:sz="4" w:space="0" w:color="BFBFBF"/>
            </w:tcBorders>
            <w:shd w:val="clear" w:color="auto" w:fill="000000"/>
          </w:tcPr>
          <w:p w14:paraId="0B39B287" w14:textId="77777777" w:rsidR="0013327C" w:rsidRPr="00142EB8" w:rsidRDefault="0013327C" w:rsidP="007174E4">
            <w:pPr>
              <w:ind w:left="2"/>
              <w:rPr>
                <w:rFonts w:ascii="Times New Roman" w:hAnsi="Times New Roman" w:cs="Times New Roman"/>
                <w:sz w:val="24"/>
                <w:szCs w:val="24"/>
              </w:rPr>
            </w:pPr>
            <w:r w:rsidRPr="00142EB8">
              <w:rPr>
                <w:rFonts w:ascii="Times New Roman" w:hAnsi="Times New Roman" w:cs="Times New Roman"/>
                <w:color w:val="FFFFFF"/>
                <w:sz w:val="24"/>
                <w:szCs w:val="24"/>
              </w:rPr>
              <w:t xml:space="preserve"> </w:t>
            </w:r>
          </w:p>
        </w:tc>
      </w:tr>
    </w:tbl>
    <w:p w14:paraId="11EB036E" w14:textId="77777777" w:rsidR="0013327C" w:rsidRPr="00142EB8" w:rsidRDefault="0013327C" w:rsidP="0013327C">
      <w:pPr>
        <w:spacing w:after="278"/>
        <w:rPr>
          <w:rFonts w:ascii="Times New Roman" w:hAnsi="Times New Roman" w:cs="Times New Roman"/>
          <w:sz w:val="24"/>
          <w:szCs w:val="24"/>
        </w:rPr>
      </w:pPr>
      <w:r w:rsidRPr="00142EB8">
        <w:rPr>
          <w:rFonts w:ascii="Times New Roman" w:hAnsi="Times New Roman" w:cs="Times New Roman"/>
          <w:sz w:val="24"/>
          <w:szCs w:val="24"/>
        </w:rPr>
        <w:t xml:space="preserve"> </w:t>
      </w:r>
    </w:p>
    <w:p w14:paraId="4AA9E2BC" w14:textId="10F1D654" w:rsidR="0013327C" w:rsidRPr="005161AB" w:rsidRDefault="005161AB" w:rsidP="005161AB">
      <w:pPr>
        <w:pStyle w:val="Caption"/>
        <w:rPr>
          <w:i w:val="0"/>
          <w:iCs w:val="0"/>
          <w:color w:val="auto"/>
          <w:sz w:val="24"/>
          <w:szCs w:val="24"/>
        </w:rPr>
      </w:pPr>
      <w:bookmarkStart w:id="44" w:name="_Ref232834593"/>
      <w:bookmarkStart w:id="45" w:name="_Toc232849051"/>
      <w:r w:rsidRPr="005161AB">
        <w:rPr>
          <w:i w:val="0"/>
          <w:iCs w:val="0"/>
          <w:color w:val="auto"/>
          <w:sz w:val="24"/>
          <w:szCs w:val="24"/>
        </w:rPr>
        <w:t xml:space="preserve">Figure </w:t>
      </w:r>
      <w:r w:rsidRPr="005161AB">
        <w:rPr>
          <w:i w:val="0"/>
          <w:iCs w:val="0"/>
          <w:color w:val="auto"/>
          <w:sz w:val="24"/>
          <w:szCs w:val="24"/>
        </w:rPr>
        <w:fldChar w:fldCharType="begin"/>
      </w:r>
      <w:r w:rsidRPr="005161AB">
        <w:rPr>
          <w:i w:val="0"/>
          <w:iCs w:val="0"/>
          <w:color w:val="auto"/>
          <w:sz w:val="24"/>
          <w:szCs w:val="24"/>
        </w:rPr>
        <w:instrText xml:space="preserve"> SEQ Figure \* ARABIC </w:instrText>
      </w:r>
      <w:r w:rsidRPr="005161AB">
        <w:rPr>
          <w:i w:val="0"/>
          <w:iCs w:val="0"/>
          <w:color w:val="auto"/>
          <w:sz w:val="24"/>
          <w:szCs w:val="24"/>
        </w:rPr>
        <w:fldChar w:fldCharType="separate"/>
      </w:r>
      <w:r w:rsidR="008978E2">
        <w:rPr>
          <w:i w:val="0"/>
          <w:iCs w:val="0"/>
          <w:noProof/>
          <w:color w:val="auto"/>
          <w:sz w:val="24"/>
          <w:szCs w:val="24"/>
        </w:rPr>
        <w:t>1</w:t>
      </w:r>
      <w:r w:rsidRPr="005161AB">
        <w:rPr>
          <w:i w:val="0"/>
          <w:iCs w:val="0"/>
          <w:color w:val="auto"/>
          <w:sz w:val="24"/>
          <w:szCs w:val="24"/>
        </w:rPr>
        <w:fldChar w:fldCharType="end"/>
      </w:r>
      <w:bookmarkEnd w:id="44"/>
      <w:r w:rsidRPr="005161AB">
        <w:rPr>
          <w:i w:val="0"/>
          <w:iCs w:val="0"/>
          <w:color w:val="auto"/>
          <w:sz w:val="24"/>
          <w:szCs w:val="24"/>
        </w:rPr>
        <w:t>: Study Ghant Chart</w:t>
      </w:r>
      <w:bookmarkEnd w:id="45"/>
    </w:p>
    <w:p w14:paraId="668BC64A" w14:textId="77777777" w:rsidR="0013327C" w:rsidRPr="0013327C" w:rsidRDefault="0013327C" w:rsidP="0013327C">
      <w:pPr>
        <w:rPr>
          <w:rFonts w:ascii="Times New Roman" w:hAnsi="Times New Roman" w:cs="Times New Roman"/>
          <w:sz w:val="24"/>
          <w:szCs w:val="24"/>
        </w:rPr>
      </w:pPr>
    </w:p>
    <w:p w14:paraId="7D0E4D09" w14:textId="0B322C0E" w:rsidR="00606CDE" w:rsidRPr="0038502B" w:rsidRDefault="00606CDE" w:rsidP="0038502B">
      <w:pPr>
        <w:pStyle w:val="Heading2"/>
      </w:pPr>
      <w:bookmarkStart w:id="46" w:name="_Toc225329478"/>
      <w:bookmarkStart w:id="47" w:name="_Toc232844534"/>
      <w:bookmarkStart w:id="48" w:name="_Toc232850319"/>
      <w:r w:rsidRPr="0038502B">
        <w:t>Sample size</w:t>
      </w:r>
      <w:bookmarkEnd w:id="46"/>
      <w:bookmarkEnd w:id="47"/>
      <w:bookmarkEnd w:id="48"/>
      <w:r w:rsidRPr="0038502B">
        <w:t xml:space="preserve">  </w:t>
      </w:r>
    </w:p>
    <w:p w14:paraId="28AE497B" w14:textId="684953B8" w:rsidR="00606CDE" w:rsidRPr="0038502B" w:rsidRDefault="005174AF" w:rsidP="0038502B">
      <w:pPr>
        <w:spacing w:after="94" w:line="480" w:lineRule="auto"/>
        <w:rPr>
          <w:rFonts w:ascii="Times New Roman" w:hAnsi="Times New Roman" w:cs="Times New Roman"/>
          <w:sz w:val="24"/>
          <w:szCs w:val="24"/>
        </w:rPr>
      </w:pPr>
      <w:r w:rsidRPr="0038502B">
        <w:rPr>
          <w:rFonts w:ascii="Times New Roman" w:hAnsi="Times New Roman" w:cs="Times New Roman"/>
          <w:noProof/>
          <w:sz w:val="24"/>
          <w:szCs w:val="24"/>
        </w:rPr>
        <w:drawing>
          <wp:anchor distT="0" distB="0" distL="114300" distR="114300" simplePos="0" relativeHeight="251672576" behindDoc="1" locked="0" layoutInCell="1" allowOverlap="1" wp14:anchorId="2C7C7E82" wp14:editId="1F029B8B">
            <wp:simplePos x="0" y="0"/>
            <wp:positionH relativeFrom="column">
              <wp:posOffset>1219200</wp:posOffset>
            </wp:positionH>
            <wp:positionV relativeFrom="paragraph">
              <wp:posOffset>367030</wp:posOffset>
            </wp:positionV>
            <wp:extent cx="449580" cy="327660"/>
            <wp:effectExtent l="0" t="0" r="7620" b="0"/>
            <wp:wrapTight wrapText="bothSides">
              <wp:wrapPolygon edited="0">
                <wp:start x="2746" y="0"/>
                <wp:lineTo x="0" y="2512"/>
                <wp:lineTo x="0" y="12558"/>
                <wp:lineTo x="5492" y="20093"/>
                <wp:lineTo x="11898" y="20093"/>
                <wp:lineTo x="21051" y="17581"/>
                <wp:lineTo x="21051" y="1256"/>
                <wp:lineTo x="9153" y="0"/>
                <wp:lineTo x="2746" y="0"/>
              </wp:wrapPolygon>
            </wp:wrapTight>
            <wp:docPr id="32661" name="Picture 32661"/>
            <wp:cNvGraphicFramePr/>
            <a:graphic xmlns:a="http://schemas.openxmlformats.org/drawingml/2006/main">
              <a:graphicData uri="http://schemas.openxmlformats.org/drawingml/2006/picture">
                <pic:pic xmlns:pic="http://schemas.openxmlformats.org/drawingml/2006/picture">
                  <pic:nvPicPr>
                    <pic:cNvPr id="32661" name="Picture 326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580" cy="327660"/>
                    </a:xfrm>
                    <a:prstGeom prst="rect">
                      <a:avLst/>
                    </a:prstGeom>
                  </pic:spPr>
                </pic:pic>
              </a:graphicData>
            </a:graphic>
            <wp14:sizeRelH relativeFrom="margin">
              <wp14:pctWidth>0</wp14:pctWidth>
            </wp14:sizeRelH>
            <wp14:sizeRelV relativeFrom="margin">
              <wp14:pctHeight>0</wp14:pctHeight>
            </wp14:sizeRelV>
          </wp:anchor>
        </w:drawing>
      </w:r>
      <w:r w:rsidR="00606CDE" w:rsidRPr="0038502B">
        <w:rPr>
          <w:rFonts w:ascii="Times New Roman" w:hAnsi="Times New Roman" w:cs="Times New Roman"/>
          <w:sz w:val="24"/>
          <w:szCs w:val="24"/>
        </w:rPr>
        <w:t>Sample size for the study will be calculated using the formula indicated below (12):</w:t>
      </w:r>
      <w:r w:rsidR="00606CDE" w:rsidRPr="0038502B">
        <w:rPr>
          <w:rFonts w:ascii="Times New Roman" w:hAnsi="Times New Roman" w:cs="Times New Roman"/>
          <w:b/>
          <w:sz w:val="24"/>
          <w:szCs w:val="24"/>
        </w:rPr>
        <w:t xml:space="preserve"> </w:t>
      </w:r>
    </w:p>
    <w:p w14:paraId="4145CD39" w14:textId="12A8942E" w:rsidR="00606CDE" w:rsidRPr="0038502B" w:rsidRDefault="00606CDE" w:rsidP="0038502B">
      <w:pPr>
        <w:spacing w:line="480" w:lineRule="auto"/>
        <w:ind w:right="7736"/>
        <w:rPr>
          <w:rFonts w:ascii="Times New Roman" w:hAnsi="Times New Roman" w:cs="Times New Roman"/>
          <w:sz w:val="24"/>
          <w:szCs w:val="24"/>
        </w:rPr>
      </w:pPr>
      <w:r w:rsidRPr="0038502B">
        <w:rPr>
          <w:rFonts w:ascii="Times New Roman" w:hAnsi="Times New Roman" w:cs="Times New Roman"/>
          <w:sz w:val="24"/>
          <w:szCs w:val="24"/>
        </w:rPr>
        <w:t xml:space="preserve">                  n=      </w:t>
      </w:r>
      <w:r w:rsidRPr="005174AF">
        <w:rPr>
          <w:rFonts w:ascii="Times New Roman" w:hAnsi="Times New Roman" w:cs="Times New Roman"/>
          <w:b/>
          <w:bCs/>
          <w:sz w:val="24"/>
          <w:szCs w:val="24"/>
        </w:rPr>
        <w:t>where:</w:t>
      </w:r>
      <w:r w:rsidRPr="0038502B">
        <w:rPr>
          <w:rFonts w:ascii="Times New Roman" w:hAnsi="Times New Roman" w:cs="Times New Roman"/>
          <w:sz w:val="24"/>
          <w:szCs w:val="24"/>
        </w:rPr>
        <w:t xml:space="preserve">         </w:t>
      </w:r>
    </w:p>
    <w:p w14:paraId="2DDEDFDF" w14:textId="77777777" w:rsidR="00606CDE" w:rsidRPr="0038502B" w:rsidRDefault="00606CDE" w:rsidP="0038502B">
      <w:pPr>
        <w:spacing w:after="13" w:line="480" w:lineRule="auto"/>
        <w:ind w:left="-5" w:right="5725"/>
        <w:rPr>
          <w:rFonts w:ascii="Times New Roman" w:hAnsi="Times New Roman" w:cs="Times New Roman"/>
          <w:sz w:val="24"/>
          <w:szCs w:val="24"/>
        </w:rPr>
      </w:pPr>
      <w:r w:rsidRPr="0038502B">
        <w:rPr>
          <w:rFonts w:ascii="Times New Roman" w:hAnsi="Times New Roman" w:cs="Times New Roman"/>
          <w:sz w:val="24"/>
          <w:szCs w:val="24"/>
        </w:rPr>
        <w:t xml:space="preserve">n = Sample size,  </w:t>
      </w:r>
    </w:p>
    <w:p w14:paraId="5A3F3185" w14:textId="6EAB1936" w:rsidR="00606CDE" w:rsidRPr="0038502B" w:rsidRDefault="00606CDE" w:rsidP="005174AF">
      <w:pPr>
        <w:spacing w:after="13" w:line="480" w:lineRule="auto"/>
        <w:ind w:left="-5" w:right="1440"/>
        <w:rPr>
          <w:rFonts w:ascii="Times New Roman" w:hAnsi="Times New Roman" w:cs="Times New Roman"/>
          <w:sz w:val="24"/>
          <w:szCs w:val="24"/>
        </w:rPr>
      </w:pPr>
      <w:r w:rsidRPr="0038502B">
        <w:rPr>
          <w:rFonts w:ascii="Times New Roman" w:hAnsi="Times New Roman" w:cs="Times New Roman"/>
          <w:sz w:val="24"/>
          <w:szCs w:val="24"/>
        </w:rPr>
        <w:t xml:space="preserve"> p= Prevalence of measles in Malawi</w:t>
      </w:r>
      <w:r w:rsidR="005174AF">
        <w:rPr>
          <w:rFonts w:ascii="Times New Roman" w:hAnsi="Times New Roman" w:cs="Times New Roman"/>
          <w:sz w:val="24"/>
          <w:szCs w:val="24"/>
        </w:rPr>
        <w:t xml:space="preserve"> </w:t>
      </w:r>
      <w:r w:rsidRPr="0038502B">
        <w:rPr>
          <w:rFonts w:ascii="Times New Roman" w:hAnsi="Times New Roman" w:cs="Times New Roman"/>
          <w:sz w:val="24"/>
          <w:szCs w:val="24"/>
        </w:rPr>
        <w:t>(2013) = 28%</w:t>
      </w:r>
    </w:p>
    <w:p w14:paraId="455BAE68" w14:textId="77777777" w:rsidR="00606CDE" w:rsidRPr="0038502B" w:rsidRDefault="00606CDE" w:rsidP="0038502B">
      <w:pPr>
        <w:spacing w:after="13" w:line="480" w:lineRule="auto"/>
        <w:ind w:left="-5" w:right="5725"/>
        <w:rPr>
          <w:rFonts w:ascii="Times New Roman" w:hAnsi="Times New Roman" w:cs="Times New Roman"/>
          <w:sz w:val="24"/>
          <w:szCs w:val="24"/>
        </w:rPr>
      </w:pPr>
      <w:r w:rsidRPr="0038502B">
        <w:rPr>
          <w:rFonts w:ascii="Times New Roman" w:hAnsi="Times New Roman" w:cs="Times New Roman"/>
          <w:sz w:val="24"/>
          <w:szCs w:val="24"/>
        </w:rPr>
        <w:t xml:space="preserve"> q= 1-p= 1- 0.28 = 0.72  </w:t>
      </w:r>
    </w:p>
    <w:p w14:paraId="693EA59E" w14:textId="77777777" w:rsidR="00606CDE" w:rsidRPr="0038502B" w:rsidRDefault="00606CDE" w:rsidP="0038502B">
      <w:pPr>
        <w:spacing w:after="13" w:line="480" w:lineRule="auto"/>
        <w:ind w:left="-5" w:right="5725"/>
        <w:rPr>
          <w:rFonts w:ascii="Times New Roman" w:hAnsi="Times New Roman" w:cs="Times New Roman"/>
          <w:sz w:val="24"/>
          <w:szCs w:val="24"/>
        </w:rPr>
      </w:pPr>
      <w:r w:rsidRPr="0038502B">
        <w:rPr>
          <w:rFonts w:ascii="Times New Roman" w:hAnsi="Times New Roman" w:cs="Times New Roman"/>
          <w:sz w:val="24"/>
          <w:szCs w:val="24"/>
        </w:rPr>
        <w:t xml:space="preserve"> e= the margin of error i.e. 5% (0.05)</w:t>
      </w:r>
    </w:p>
    <w:p w14:paraId="23649670" w14:textId="275AD061" w:rsidR="00606CDE" w:rsidRPr="0038502B" w:rsidRDefault="005174AF" w:rsidP="005174AF">
      <w:pPr>
        <w:spacing w:after="13" w:line="480" w:lineRule="auto"/>
        <w:ind w:left="-5" w:right="2520"/>
        <w:rPr>
          <w:rFonts w:ascii="Times New Roman" w:hAnsi="Times New Roman" w:cs="Times New Roman"/>
          <w:sz w:val="24"/>
          <w:szCs w:val="24"/>
        </w:rPr>
      </w:pPr>
      <w:r w:rsidRPr="0038502B">
        <w:rPr>
          <w:rFonts w:ascii="Times New Roman" w:hAnsi="Times New Roman" w:cs="Times New Roman"/>
          <w:noProof/>
          <w:sz w:val="24"/>
          <w:szCs w:val="24"/>
        </w:rPr>
        <w:drawing>
          <wp:anchor distT="0" distB="0" distL="114300" distR="114300" simplePos="0" relativeHeight="251673600" behindDoc="1" locked="0" layoutInCell="1" allowOverlap="1" wp14:anchorId="191D64C7" wp14:editId="43689AAC">
            <wp:simplePos x="0" y="0"/>
            <wp:positionH relativeFrom="column">
              <wp:posOffset>579120</wp:posOffset>
            </wp:positionH>
            <wp:positionV relativeFrom="paragraph">
              <wp:posOffset>361315</wp:posOffset>
            </wp:positionV>
            <wp:extent cx="981075" cy="289560"/>
            <wp:effectExtent l="0" t="0" r="9525" b="0"/>
            <wp:wrapTight wrapText="bothSides">
              <wp:wrapPolygon edited="0">
                <wp:start x="0" y="0"/>
                <wp:lineTo x="0" y="11368"/>
                <wp:lineTo x="6291" y="19895"/>
                <wp:lineTo x="13841" y="19895"/>
                <wp:lineTo x="21390" y="11368"/>
                <wp:lineTo x="21390" y="0"/>
                <wp:lineTo x="0" y="0"/>
              </wp:wrapPolygon>
            </wp:wrapTight>
            <wp:docPr id="32662" name="Picture 32662"/>
            <wp:cNvGraphicFramePr/>
            <a:graphic xmlns:a="http://schemas.openxmlformats.org/drawingml/2006/main">
              <a:graphicData uri="http://schemas.openxmlformats.org/drawingml/2006/picture">
                <pic:pic xmlns:pic="http://schemas.openxmlformats.org/drawingml/2006/picture">
                  <pic:nvPicPr>
                    <pic:cNvPr id="32662" name="Picture 326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075" cy="289560"/>
                    </a:xfrm>
                    <a:prstGeom prst="rect">
                      <a:avLst/>
                    </a:prstGeom>
                  </pic:spPr>
                </pic:pic>
              </a:graphicData>
            </a:graphic>
            <wp14:sizeRelV relativeFrom="margin">
              <wp14:pctHeight>0</wp14:pctHeight>
            </wp14:sizeRelV>
          </wp:anchor>
        </w:drawing>
      </w:r>
      <w:r w:rsidR="00606CDE" w:rsidRPr="0038502B">
        <w:rPr>
          <w:rFonts w:ascii="Times New Roman" w:hAnsi="Times New Roman" w:cs="Times New Roman"/>
          <w:sz w:val="24"/>
          <w:szCs w:val="24"/>
        </w:rPr>
        <w:t xml:space="preserve"> z= 1.96 corresponding at 95%</w:t>
      </w:r>
      <w:r>
        <w:rPr>
          <w:rFonts w:ascii="Times New Roman" w:hAnsi="Times New Roman" w:cs="Times New Roman"/>
          <w:sz w:val="24"/>
          <w:szCs w:val="24"/>
        </w:rPr>
        <w:t xml:space="preserve"> </w:t>
      </w:r>
      <w:r w:rsidR="00606CDE" w:rsidRPr="0038502B">
        <w:rPr>
          <w:rFonts w:ascii="Times New Roman" w:hAnsi="Times New Roman" w:cs="Times New Roman"/>
          <w:sz w:val="24"/>
          <w:szCs w:val="24"/>
        </w:rPr>
        <w:t xml:space="preserve">confidence interval </w:t>
      </w:r>
    </w:p>
    <w:p w14:paraId="64EBF9B6" w14:textId="3BAE435B" w:rsidR="00606CDE" w:rsidRPr="0038502B" w:rsidRDefault="00606CDE" w:rsidP="0038502B">
      <w:pPr>
        <w:spacing w:after="114" w:line="480" w:lineRule="auto"/>
        <w:rPr>
          <w:rFonts w:ascii="Times New Roman" w:hAnsi="Times New Roman" w:cs="Times New Roman"/>
          <w:sz w:val="24"/>
          <w:szCs w:val="24"/>
        </w:rPr>
      </w:pPr>
      <w:r w:rsidRPr="0038502B">
        <w:rPr>
          <w:rFonts w:ascii="Times New Roman" w:hAnsi="Times New Roman" w:cs="Times New Roman"/>
          <w:sz w:val="24"/>
          <w:szCs w:val="24"/>
        </w:rPr>
        <w:t xml:space="preserve">n=      </w:t>
      </w:r>
    </w:p>
    <w:p w14:paraId="4BD7AFB5" w14:textId="6F2356E2" w:rsidR="00606CDE" w:rsidRDefault="00606CDE" w:rsidP="0038502B">
      <w:pPr>
        <w:spacing w:after="115" w:line="480" w:lineRule="auto"/>
        <w:rPr>
          <w:rFonts w:ascii="Times New Roman" w:hAnsi="Times New Roman" w:cs="Times New Roman"/>
          <w:sz w:val="24"/>
          <w:szCs w:val="24"/>
        </w:rPr>
      </w:pPr>
      <w:r w:rsidRPr="0038502B">
        <w:rPr>
          <w:rFonts w:ascii="Times New Roman" w:hAnsi="Times New Roman" w:cs="Times New Roman"/>
          <w:sz w:val="24"/>
          <w:szCs w:val="24"/>
        </w:rPr>
        <w:t>n= 309.7, 10% (31) attrition due to loss of data as a result of incomplete records =310 + 31=341</w:t>
      </w:r>
    </w:p>
    <w:p w14:paraId="0B1F8CB2" w14:textId="1AE642FF" w:rsidR="00955A80" w:rsidRPr="00955A80" w:rsidRDefault="00955A80" w:rsidP="0038502B">
      <w:pPr>
        <w:spacing w:after="115" w:line="480" w:lineRule="auto"/>
        <w:rPr>
          <w:rFonts w:ascii="Times New Roman" w:hAnsi="Times New Roman" w:cs="Times New Roman"/>
          <w:sz w:val="24"/>
          <w:szCs w:val="24"/>
          <w:lang/>
        </w:rPr>
      </w:pPr>
      <w:r w:rsidRPr="00955A80">
        <w:rPr>
          <w:rFonts w:ascii="Times New Roman" w:hAnsi="Times New Roman" w:cs="Times New Roman"/>
          <w:sz w:val="24"/>
          <w:szCs w:val="24"/>
        </w:rPr>
        <w:t xml:space="preserve">A minimum of 341 records was therefore deemed necessary to support statistically sound inferences at a 95% confidence level and a 5% margin of error. However, because a sample of this size would not have permitted meaningful generalisation to the national context, the study did not draw a probability sample. Instead, all suspected measles cases meeting the inclusion criteria and reported to the National Expanded Programme on </w:t>
      </w:r>
      <w:r>
        <w:rPr>
          <w:rFonts w:ascii="Times New Roman" w:hAnsi="Times New Roman" w:cs="Times New Roman"/>
          <w:sz w:val="24"/>
          <w:szCs w:val="24"/>
        </w:rPr>
        <w:t>Immunisation</w:t>
      </w:r>
      <w:r w:rsidRPr="00955A80">
        <w:rPr>
          <w:rFonts w:ascii="Times New Roman" w:hAnsi="Times New Roman" w:cs="Times New Roman"/>
          <w:sz w:val="24"/>
          <w:szCs w:val="24"/>
        </w:rPr>
        <w:t xml:space="preserve"> (EPI) surveillance system, with specimens submitted to the Kamuzu Central Hospital (KCH) laboratory for IgM testing, were </w:t>
      </w:r>
      <w:r w:rsidRPr="00955A80">
        <w:rPr>
          <w:rFonts w:ascii="Times New Roman" w:hAnsi="Times New Roman" w:cs="Times New Roman"/>
          <w:sz w:val="24"/>
          <w:szCs w:val="24"/>
        </w:rPr>
        <w:lastRenderedPageBreak/>
        <w:t>extracted for the study period. This yielded 1,191 eligible cases with complete records and valid IgM results, exceeding the calculated minimum by nearly 3.5 times. Including the full eligible population rather than a calculated subset strengthens the reliability of subgroup analyses by sex, district, and region, and supports more robust multivariate logistic regression modelling.</w:t>
      </w:r>
    </w:p>
    <w:p w14:paraId="44A1F183" w14:textId="14F54D22" w:rsidR="005F3FF6" w:rsidRPr="0038502B" w:rsidRDefault="005F3FF6" w:rsidP="005161AB">
      <w:pPr>
        <w:pStyle w:val="Heading2"/>
      </w:pPr>
      <w:bookmarkStart w:id="49" w:name="_Toc225329473"/>
      <w:bookmarkStart w:id="50" w:name="_Toc232844535"/>
      <w:bookmarkStart w:id="51" w:name="_Toc232850320"/>
      <w:r w:rsidRPr="0038502B">
        <w:t xml:space="preserve">Data </w:t>
      </w:r>
      <w:r w:rsidRPr="005161AB">
        <w:t>Extraction</w:t>
      </w:r>
      <w:bookmarkEnd w:id="49"/>
      <w:bookmarkEnd w:id="50"/>
      <w:bookmarkEnd w:id="51"/>
    </w:p>
    <w:p w14:paraId="215BBD7E" w14:textId="77777777" w:rsidR="00EC469E" w:rsidRPr="00EC469E" w:rsidRDefault="00EC469E" w:rsidP="00EC469E">
      <w:pPr>
        <w:spacing w:after="112" w:line="480" w:lineRule="auto"/>
        <w:rPr>
          <w:rFonts w:ascii="Times New Roman" w:hAnsi="Times New Roman" w:cs="Times New Roman"/>
          <w:sz w:val="24"/>
          <w:szCs w:val="24"/>
        </w:rPr>
      </w:pPr>
      <w:r w:rsidRPr="00EC469E">
        <w:rPr>
          <w:rFonts w:ascii="Times New Roman" w:hAnsi="Times New Roman" w:cs="Times New Roman"/>
          <w:sz w:val="24"/>
          <w:szCs w:val="24"/>
        </w:rPr>
        <w:t>This study used secondary data. Given that a calculated sample would have been too small to support meaningful generalisation to the national context, all suspected measles cases meeting the inclusion criteria within the study period were extracted rather than a probability sample. Data were downloaded from the EPI repository database, and case forms were retrieved and matched against the corresponding records in the live database to confirm completeness and accuracy. Each case form contained the accession number, patient demographic details, clinical information (presenting symptoms and underlying conditions), and vaccination history. A structured data extraction form (Appendix 1) was used to capture this information from every eligible case.</w:t>
      </w:r>
    </w:p>
    <w:p w14:paraId="57813ED9" w14:textId="77777777" w:rsidR="00EC469E" w:rsidRPr="00EC469E" w:rsidRDefault="00EC469E" w:rsidP="00EC469E">
      <w:pPr>
        <w:spacing w:after="112" w:line="480" w:lineRule="auto"/>
        <w:rPr>
          <w:rFonts w:ascii="Times New Roman" w:hAnsi="Times New Roman" w:cs="Times New Roman"/>
          <w:sz w:val="24"/>
          <w:szCs w:val="24"/>
        </w:rPr>
      </w:pPr>
      <w:r w:rsidRPr="00EC469E">
        <w:rPr>
          <w:rFonts w:ascii="Times New Roman" w:hAnsi="Times New Roman" w:cs="Times New Roman"/>
          <w:sz w:val="24"/>
          <w:szCs w:val="24"/>
        </w:rPr>
        <w:t>Where extraction forms were incomplete, they were cross-checked against the original source case forms to verify accuracy and fill any gaps. Data were transferred from the extraction forms into a Microsoft Excel spreadsheet using a double-entry technique.</w:t>
      </w:r>
    </w:p>
    <w:p w14:paraId="1ED5AF55" w14:textId="77777777" w:rsidR="003C2619" w:rsidRPr="003C2619" w:rsidRDefault="003C2619" w:rsidP="0038502B">
      <w:pPr>
        <w:spacing w:after="112" w:line="480" w:lineRule="auto"/>
        <w:rPr>
          <w:rFonts w:ascii="Times New Roman" w:hAnsi="Times New Roman" w:cs="Times New Roman"/>
          <w:sz w:val="24"/>
          <w:szCs w:val="24"/>
        </w:rPr>
      </w:pPr>
    </w:p>
    <w:p w14:paraId="0A0E2C53" w14:textId="174EBBB7" w:rsidR="005F3FF6" w:rsidRPr="0038502B" w:rsidRDefault="005F3FF6" w:rsidP="005174AF">
      <w:pPr>
        <w:pStyle w:val="Heading2"/>
      </w:pPr>
      <w:bookmarkStart w:id="52" w:name="_Toc225329474"/>
      <w:bookmarkStart w:id="53" w:name="_Toc232844536"/>
      <w:bookmarkStart w:id="54" w:name="_Toc232850321"/>
      <w:r w:rsidRPr="0038502B">
        <w:t>Inclusion criteri</w:t>
      </w:r>
      <w:bookmarkEnd w:id="52"/>
      <w:r w:rsidR="005161AB">
        <w:t>a</w:t>
      </w:r>
      <w:bookmarkEnd w:id="53"/>
      <w:bookmarkEnd w:id="54"/>
    </w:p>
    <w:p w14:paraId="5F8AE459" w14:textId="2DCFE48B" w:rsidR="005F3FF6" w:rsidRPr="0038502B" w:rsidRDefault="00E761A3" w:rsidP="0038502B">
      <w:pPr>
        <w:spacing w:after="118" w:line="480" w:lineRule="auto"/>
        <w:rPr>
          <w:rFonts w:ascii="Times New Roman" w:hAnsi="Times New Roman" w:cs="Times New Roman"/>
          <w:sz w:val="24"/>
          <w:szCs w:val="24"/>
        </w:rPr>
      </w:pPr>
      <w:r w:rsidRPr="00E761A3">
        <w:rPr>
          <w:rFonts w:ascii="Times New Roman" w:hAnsi="Times New Roman" w:cs="Times New Roman"/>
          <w:sz w:val="24"/>
          <w:szCs w:val="24"/>
        </w:rPr>
        <w:t>All suspected measles cases received and tested by the Kamuzu Central Hospital laboratory between April 2023 and December 2024 were eligible for inclusion.</w:t>
      </w:r>
    </w:p>
    <w:p w14:paraId="6E670511" w14:textId="32774E9F" w:rsidR="005F3FF6" w:rsidRPr="0038502B" w:rsidRDefault="005F3FF6" w:rsidP="005174AF">
      <w:pPr>
        <w:pStyle w:val="Heading2"/>
      </w:pPr>
      <w:bookmarkStart w:id="55" w:name="_Toc225329475"/>
      <w:bookmarkStart w:id="56" w:name="_Toc232844537"/>
      <w:bookmarkStart w:id="57" w:name="_Toc232850322"/>
      <w:r w:rsidRPr="0038502B">
        <w:t>Exclusion criteria</w:t>
      </w:r>
      <w:bookmarkEnd w:id="55"/>
      <w:bookmarkEnd w:id="56"/>
      <w:bookmarkEnd w:id="57"/>
      <w:r w:rsidRPr="0038502B">
        <w:t xml:space="preserve"> </w:t>
      </w:r>
    </w:p>
    <w:p w14:paraId="013A5C1C" w14:textId="77777777" w:rsidR="005F3FF6" w:rsidRPr="0038502B" w:rsidRDefault="005F3FF6" w:rsidP="0038502B">
      <w:pPr>
        <w:spacing w:after="115" w:line="480" w:lineRule="auto"/>
        <w:rPr>
          <w:rFonts w:ascii="Times New Roman" w:hAnsi="Times New Roman" w:cs="Times New Roman"/>
          <w:sz w:val="24"/>
          <w:szCs w:val="24"/>
        </w:rPr>
      </w:pPr>
      <w:r w:rsidRPr="0038502B">
        <w:rPr>
          <w:rFonts w:ascii="Times New Roman" w:hAnsi="Times New Roman" w:cs="Times New Roman"/>
          <w:sz w:val="24"/>
          <w:szCs w:val="24"/>
        </w:rPr>
        <w:t>All samples with incomplete or missing records on variable measles testing result.</w:t>
      </w:r>
    </w:p>
    <w:p w14:paraId="70B647AD" w14:textId="596BC255" w:rsidR="00606CDE" w:rsidRPr="0038502B" w:rsidRDefault="00606CDE" w:rsidP="005174AF">
      <w:pPr>
        <w:pStyle w:val="Heading2"/>
      </w:pPr>
      <w:bookmarkStart w:id="58" w:name="_Toc225329479"/>
      <w:bookmarkStart w:id="59" w:name="_Toc232844538"/>
      <w:bookmarkStart w:id="60" w:name="_Toc232850323"/>
      <w:r w:rsidRPr="005174AF">
        <w:lastRenderedPageBreak/>
        <w:t>Data</w:t>
      </w:r>
      <w:r w:rsidRPr="0038502B">
        <w:t xml:space="preserve"> management and analysis</w:t>
      </w:r>
      <w:bookmarkEnd w:id="58"/>
      <w:bookmarkEnd w:id="59"/>
      <w:bookmarkEnd w:id="60"/>
      <w:r w:rsidRPr="0038502B">
        <w:t xml:space="preserve"> </w:t>
      </w:r>
    </w:p>
    <w:p w14:paraId="3DBDE9B4" w14:textId="02668BA0" w:rsidR="00606CDE" w:rsidRPr="0038502B" w:rsidRDefault="00606CDE" w:rsidP="005161A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Data will be stored in a secure, password-protected database or computer with access limited to the responsible personnel. </w:t>
      </w:r>
    </w:p>
    <w:p w14:paraId="3A4249B5" w14:textId="56DD1F80" w:rsidR="005174AF" w:rsidRPr="005174AF" w:rsidRDefault="005174AF" w:rsidP="005174AF">
      <w:pPr>
        <w:spacing w:line="480" w:lineRule="auto"/>
        <w:rPr>
          <w:rFonts w:ascii="Times New Roman" w:hAnsi="Times New Roman" w:cs="Times New Roman"/>
          <w:sz w:val="24"/>
          <w:szCs w:val="24"/>
        </w:rPr>
      </w:pPr>
      <w:r w:rsidRPr="0038502B">
        <w:rPr>
          <w:rFonts w:ascii="Times New Roman" w:hAnsi="Times New Roman" w:cs="Times New Roman"/>
          <w:noProof/>
          <w:sz w:val="24"/>
          <w:szCs w:val="24"/>
        </w:rPr>
        <mc:AlternateContent>
          <mc:Choice Requires="wpg">
            <w:drawing>
              <wp:anchor distT="0" distB="0" distL="114300" distR="114300" simplePos="0" relativeHeight="251675648" behindDoc="0" locked="0" layoutInCell="1" allowOverlap="1" wp14:anchorId="0A6D3777" wp14:editId="1AF592FF">
                <wp:simplePos x="0" y="0"/>
                <wp:positionH relativeFrom="page">
                  <wp:posOffset>310896</wp:posOffset>
                </wp:positionH>
                <wp:positionV relativeFrom="page">
                  <wp:posOffset>982929</wp:posOffset>
                </wp:positionV>
                <wp:extent cx="9144" cy="262433"/>
                <wp:effectExtent l="0" t="0" r="0" b="0"/>
                <wp:wrapSquare wrapText="bothSides"/>
                <wp:docPr id="31382" name="Group 31382"/>
                <wp:cNvGraphicFramePr/>
                <a:graphic xmlns:a="http://schemas.openxmlformats.org/drawingml/2006/main">
                  <a:graphicData uri="http://schemas.microsoft.com/office/word/2010/wordprocessingGroup">
                    <wpg:wgp>
                      <wpg:cNvGrpSpPr/>
                      <wpg:grpSpPr>
                        <a:xfrm>
                          <a:off x="0" y="0"/>
                          <a:ext cx="9144" cy="262433"/>
                          <a:chOff x="0" y="0"/>
                          <a:chExt cx="9144" cy="262433"/>
                        </a:xfrm>
                      </wpg:grpSpPr>
                      <wps:wsp>
                        <wps:cNvPr id="33752" name="Shape 33752"/>
                        <wps:cNvSpPr/>
                        <wps:spPr>
                          <a:xfrm>
                            <a:off x="0" y="0"/>
                            <a:ext cx="9144" cy="262433"/>
                          </a:xfrm>
                          <a:custGeom>
                            <a:avLst/>
                            <a:gdLst/>
                            <a:ahLst/>
                            <a:cxnLst/>
                            <a:rect l="0" t="0" r="0" b="0"/>
                            <a:pathLst>
                              <a:path w="9144" h="262433">
                                <a:moveTo>
                                  <a:pt x="0" y="0"/>
                                </a:moveTo>
                                <a:lnTo>
                                  <a:pt x="9144" y="0"/>
                                </a:lnTo>
                                <a:lnTo>
                                  <a:pt x="9144" y="262433"/>
                                </a:lnTo>
                                <a:lnTo>
                                  <a:pt x="0" y="2624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47735E8" id="Group 31382" o:spid="_x0000_s1026" style="position:absolute;margin-left:24.5pt;margin-top:77.4pt;width:.7pt;height:20.65pt;z-index:251675648;mso-position-horizontal-relative:page;mso-position-vertical-relative:page" coordsize="9144,262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">
                <v:shape id="Shape 33752" o:spid="_x0000_s1027" style="position:absolute;width:9144;height:262433;visibility:visible;mso-wrap-style:square;v-text-anchor:top" coordsize="9144,26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" path="m,l9144,r,262433l,262433,,e" fillcolor="black" stroked="f" strokeweight="0">
                  <v:stroke miterlimit="83231f" joinstyle="miter"/>
                  <v:path arrowok="t" textboxrect="0,0,9144,262433"/>
                </v:shape>
                <w10:wrap type="square" anchorx="page" anchory="page"/>
              </v:group>
            </w:pict>
          </mc:Fallback>
        </mc:AlternateContent>
      </w:r>
      <w:r w:rsidRPr="0038502B">
        <w:rPr>
          <w:rFonts w:ascii="Times New Roman" w:hAnsi="Times New Roman" w:cs="Times New Roman"/>
          <w:noProof/>
          <w:sz w:val="24"/>
          <w:szCs w:val="24"/>
        </w:rPr>
        <mc:AlternateContent>
          <mc:Choice Requires="wpg">
            <w:drawing>
              <wp:anchor distT="0" distB="0" distL="114300" distR="114300" simplePos="0" relativeHeight="251676672" behindDoc="0" locked="0" layoutInCell="1" allowOverlap="1" wp14:anchorId="5A14EE0B" wp14:editId="6FFCF8AE">
                <wp:simplePos x="0" y="0"/>
                <wp:positionH relativeFrom="page">
                  <wp:posOffset>310896</wp:posOffset>
                </wp:positionH>
                <wp:positionV relativeFrom="page">
                  <wp:posOffset>6523609</wp:posOffset>
                </wp:positionV>
                <wp:extent cx="9144" cy="262128"/>
                <wp:effectExtent l="0" t="0" r="0" b="0"/>
                <wp:wrapSquare wrapText="bothSides"/>
                <wp:docPr id="31383" name="Group 31383"/>
                <wp:cNvGraphicFramePr/>
                <a:graphic xmlns:a="http://schemas.openxmlformats.org/drawingml/2006/main">
                  <a:graphicData uri="http://schemas.microsoft.com/office/word/2010/wordprocessingGroup">
                    <wpg:wgp>
                      <wpg:cNvGrpSpPr/>
                      <wpg:grpSpPr>
                        <a:xfrm>
                          <a:off x="0" y="0"/>
                          <a:ext cx="9144" cy="262128"/>
                          <a:chOff x="0" y="0"/>
                          <a:chExt cx="9144" cy="262128"/>
                        </a:xfrm>
                      </wpg:grpSpPr>
                      <wps:wsp>
                        <wps:cNvPr id="33754" name="Shape 33754"/>
                        <wps:cNvSpPr/>
                        <wps:spPr>
                          <a:xfrm>
                            <a:off x="0" y="0"/>
                            <a:ext cx="9144" cy="262128"/>
                          </a:xfrm>
                          <a:custGeom>
                            <a:avLst/>
                            <a:gdLst/>
                            <a:ahLst/>
                            <a:cxnLst/>
                            <a:rect l="0" t="0" r="0" b="0"/>
                            <a:pathLst>
                              <a:path w="9144" h="262128">
                                <a:moveTo>
                                  <a:pt x="0" y="0"/>
                                </a:moveTo>
                                <a:lnTo>
                                  <a:pt x="9144" y="0"/>
                                </a:lnTo>
                                <a:lnTo>
                                  <a:pt x="9144" y="262128"/>
                                </a:lnTo>
                                <a:lnTo>
                                  <a:pt x="0" y="2621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C1C2CA8" id="Group 31383" o:spid="_x0000_s1026" style="position:absolute;margin-left:24.5pt;margin-top:513.65pt;width:.7pt;height:20.65pt;z-index:251676672;mso-position-horizontal-relative:page;mso-position-vertical-relative:page" coordsize="9144,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">
                <v:shape id="Shape 33754" o:spid="_x0000_s1027" style="position:absolute;width:9144;height:262128;visibility:visible;mso-wrap-style:square;v-text-anchor:top" coordsize="9144,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" path="m,l9144,r,262128l,262128,,e" fillcolor="black" stroked="f" strokeweight="0">
                  <v:stroke miterlimit="83231f" joinstyle="miter"/>
                  <v:path arrowok="t" textboxrect="0,0,9144,262128"/>
                </v:shape>
                <w10:wrap type="square" anchorx="page" anchory="page"/>
              </v:group>
            </w:pict>
          </mc:Fallback>
        </mc:AlternateContent>
      </w:r>
      <w:r w:rsidRPr="0038502B">
        <w:rPr>
          <w:rFonts w:ascii="Times New Roman" w:hAnsi="Times New Roman" w:cs="Times New Roman"/>
          <w:sz w:val="24"/>
          <w:szCs w:val="24"/>
        </w:rPr>
        <w:t xml:space="preserve">All data will be checked for duplicates, missing values and inconsistencies and implausible values. The source documents will be used to confirm the values. Data with unexplained outliers will be removed. Clean data will be transferred from Microsoft excel into Stata version 17.0.  </w:t>
      </w:r>
    </w:p>
    <w:p w14:paraId="46EF6C0C" w14:textId="77777777" w:rsidR="005174AF" w:rsidRPr="005174AF" w:rsidRDefault="005174AF" w:rsidP="005174AF"/>
    <w:p w14:paraId="732CF083" w14:textId="77777777" w:rsidR="00606CDE" w:rsidRDefault="00606CDE"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Stata version 17.0 will be used to analyze the data. Descriptive statistics will be presented using frequencies and percentages for categorical variables. Chi square will be used to analyze associations between categorical variables. The variable of interest is the Measles sero result (Positive or Negative). Measles outcome will be cross tabulated with other independent variables e.g age, residence, sex.  Multivariate regression analysis will be conducted to identify the associated risk factors of measles antibodies and at p-value &lt;0.05. The Odds will be retained in the multiple regression analysis</w:t>
      </w:r>
      <w:r w:rsidRPr="0038502B">
        <w:rPr>
          <w:rFonts w:ascii="Times New Roman" w:hAnsi="Times New Roman" w:cs="Times New Roman"/>
          <w:color w:val="2E97D3"/>
          <w:sz w:val="24"/>
          <w:szCs w:val="24"/>
          <w:u w:val="single" w:color="2E97D3"/>
        </w:rPr>
        <w:t xml:space="preserve"> </w:t>
      </w:r>
      <w:r w:rsidRPr="0038502B">
        <w:rPr>
          <w:rFonts w:ascii="Times New Roman" w:hAnsi="Times New Roman" w:cs="Times New Roman"/>
          <w:sz w:val="24"/>
          <w:szCs w:val="24"/>
        </w:rPr>
        <w:t xml:space="preserve">to examine the associations Between the dependent variable and independent variable the while adjusting odd will be presented for potential confounding variables. </w:t>
      </w:r>
    </w:p>
    <w:p w14:paraId="1D403E60" w14:textId="77777777" w:rsidR="005161AB" w:rsidRDefault="005161AB" w:rsidP="005F3FF6">
      <w:pPr>
        <w:spacing w:after="115"/>
        <w:rPr>
          <w:rFonts w:ascii="Times New Roman" w:hAnsi="Times New Roman" w:cs="Times New Roman"/>
          <w:b/>
          <w:sz w:val="24"/>
          <w:szCs w:val="24"/>
        </w:rPr>
      </w:pPr>
      <w:r>
        <w:rPr>
          <w:rFonts w:ascii="Times New Roman" w:hAnsi="Times New Roman" w:cs="Times New Roman"/>
          <w:b/>
          <w:sz w:val="24"/>
          <w:szCs w:val="24"/>
        </w:rPr>
        <w:br w:type="page"/>
      </w:r>
    </w:p>
    <w:p w14:paraId="3E7A71AB" w14:textId="28854F4E" w:rsidR="005F3FF6" w:rsidRPr="00142EB8" w:rsidRDefault="005F3FF6" w:rsidP="005F3FF6">
      <w:pPr>
        <w:spacing w:after="115"/>
        <w:rPr>
          <w:rFonts w:ascii="Times New Roman" w:hAnsi="Times New Roman" w:cs="Times New Roman"/>
          <w:sz w:val="24"/>
          <w:szCs w:val="24"/>
        </w:rPr>
      </w:pPr>
      <w:r w:rsidRPr="00142EB8">
        <w:rPr>
          <w:rFonts w:ascii="Times New Roman" w:hAnsi="Times New Roman" w:cs="Times New Roman"/>
          <w:b/>
          <w:sz w:val="24"/>
          <w:szCs w:val="24"/>
        </w:rPr>
        <w:lastRenderedPageBreak/>
        <w:t xml:space="preserve"> </w:t>
      </w:r>
    </w:p>
    <w:p w14:paraId="7A677E57" w14:textId="77777777" w:rsidR="005F3FF6" w:rsidRPr="00142EB8" w:rsidRDefault="005F3FF6" w:rsidP="005F3FF6">
      <w:pPr>
        <w:spacing w:after="112"/>
        <w:rPr>
          <w:rFonts w:ascii="Times New Roman" w:hAnsi="Times New Roman" w:cs="Times New Roman"/>
          <w:sz w:val="24"/>
          <w:szCs w:val="24"/>
        </w:rPr>
      </w:pPr>
      <w:r w:rsidRPr="00142EB8">
        <w:rPr>
          <w:rFonts w:ascii="Times New Roman" w:hAnsi="Times New Roman" w:cs="Times New Roman"/>
          <w:b/>
          <w:sz w:val="24"/>
          <w:szCs w:val="24"/>
        </w:rPr>
        <w:t xml:space="preserve"> </w:t>
      </w:r>
    </w:p>
    <w:p w14:paraId="53825C2E" w14:textId="24686C75" w:rsidR="001A2889" w:rsidRPr="00606CDE" w:rsidRDefault="005F3FF6" w:rsidP="00985840">
      <w:pPr>
        <w:pStyle w:val="Heading1"/>
      </w:pPr>
      <w:r w:rsidRPr="00142EB8">
        <w:t xml:space="preserve"> </w:t>
      </w:r>
      <w:bookmarkStart w:id="61" w:name="_Toc232844539"/>
      <w:bookmarkStart w:id="62" w:name="_Toc232850324"/>
      <w:r w:rsidR="00606CDE" w:rsidRPr="001A2889">
        <w:t xml:space="preserve">Chapter </w:t>
      </w:r>
      <w:r w:rsidR="00606CDE">
        <w:t>3</w:t>
      </w:r>
      <w:r w:rsidR="005161AB">
        <w:tab/>
      </w:r>
      <w:r w:rsidR="00606CDE" w:rsidRPr="001A2889">
        <w:t>results</w:t>
      </w:r>
      <w:bookmarkEnd w:id="61"/>
      <w:bookmarkEnd w:id="62"/>
    </w:p>
    <w:p w14:paraId="4B1723CE" w14:textId="0FE2482B" w:rsidR="001A2889" w:rsidRPr="001A2889" w:rsidRDefault="001A2889" w:rsidP="005161AB">
      <w:pPr>
        <w:pStyle w:val="Heading2"/>
      </w:pPr>
      <w:bookmarkStart w:id="63" w:name="_Toc232844540"/>
      <w:bookmarkStart w:id="64" w:name="_Toc232850325"/>
      <w:r w:rsidRPr="001A2889">
        <w:t>Introduction</w:t>
      </w:r>
      <w:bookmarkEnd w:id="63"/>
      <w:bookmarkEnd w:id="64"/>
    </w:p>
    <w:p w14:paraId="51C58088" w14:textId="77777777" w:rsidR="001A2889" w:rsidRP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This chapter presents the results of the analysis of measles surveillance and laboratory data collected in Malawi between April 2023 and December 2024. A total of 1,191 suspected measles cases with complete records were included in the final analysis. The results are organised according to the three specific objectives of the study: the overall seroprevalence of measles IgM antibodies, the factors associated with IgM positivity, and the distribution of seroprevalence by district. Sociodemographic characteristics of the study population are presented first to provide context for the findings that follow.</w:t>
      </w:r>
    </w:p>
    <w:p w14:paraId="20E0D46C" w14:textId="0BA42273" w:rsidR="001A2889" w:rsidRPr="001A2889" w:rsidRDefault="001A2889" w:rsidP="00E761A3">
      <w:pPr>
        <w:pStyle w:val="Heading2"/>
      </w:pPr>
      <w:bookmarkStart w:id="65" w:name="_Toc232844541"/>
      <w:bookmarkStart w:id="66" w:name="_Toc232850326"/>
      <w:r w:rsidRPr="001A2889">
        <w:t>Sociodemographic Characteristics of the Study Population</w:t>
      </w:r>
      <w:bookmarkEnd w:id="65"/>
      <w:bookmarkEnd w:id="66"/>
    </w:p>
    <w:p w14:paraId="6C42061A" w14:textId="3AC27F99" w:rsidR="001A2889" w:rsidRPr="001A2889" w:rsidRDefault="00E761A3" w:rsidP="0038502B">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_Ref232835569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E761A3">
        <w:rPr>
          <w:rFonts w:ascii="Times New Roman" w:hAnsi="Times New Roman" w:cs="Times New Roman"/>
          <w:sz w:val="24"/>
          <w:szCs w:val="24"/>
        </w:rPr>
        <w:t>Table 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A2889" w:rsidRPr="001A2889">
        <w:rPr>
          <w:rFonts w:ascii="Times New Roman" w:hAnsi="Times New Roman" w:cs="Times New Roman"/>
          <w:sz w:val="24"/>
          <w:szCs w:val="24"/>
        </w:rPr>
        <w:t>presents the sociodemographic characteristics of the 1,191 suspected measles cases included in the analysis.</w:t>
      </w:r>
    </w:p>
    <w:p w14:paraId="29F06009" w14:textId="4B71C388" w:rsidR="001A2889" w:rsidRPr="00E761A3" w:rsidRDefault="00E761A3" w:rsidP="00E761A3">
      <w:pPr>
        <w:pStyle w:val="Caption"/>
        <w:rPr>
          <w:rFonts w:eastAsia="Calibri"/>
          <w:i w:val="0"/>
          <w:iCs w:val="0"/>
          <w:color w:val="auto"/>
          <w:sz w:val="24"/>
          <w:szCs w:val="24"/>
        </w:rPr>
      </w:pPr>
      <w:bookmarkStart w:id="67" w:name="_Ref232835569"/>
      <w:bookmarkStart w:id="68" w:name="_Toc232849022"/>
      <w:r w:rsidRPr="00E761A3">
        <w:rPr>
          <w:rFonts w:eastAsia="Calibri"/>
          <w:i w:val="0"/>
          <w:iCs w:val="0"/>
          <w:color w:val="auto"/>
          <w:sz w:val="24"/>
          <w:szCs w:val="24"/>
        </w:rPr>
        <w:t xml:space="preserve">Table </w:t>
      </w:r>
      <w:r w:rsidRPr="00E761A3">
        <w:rPr>
          <w:rFonts w:eastAsia="Calibri"/>
          <w:i w:val="0"/>
          <w:iCs w:val="0"/>
          <w:color w:val="auto"/>
          <w:sz w:val="24"/>
          <w:szCs w:val="24"/>
        </w:rPr>
        <w:fldChar w:fldCharType="begin"/>
      </w:r>
      <w:r w:rsidRPr="00E761A3">
        <w:rPr>
          <w:rFonts w:eastAsia="Calibri"/>
          <w:i w:val="0"/>
          <w:iCs w:val="0"/>
          <w:color w:val="auto"/>
          <w:sz w:val="24"/>
          <w:szCs w:val="24"/>
        </w:rPr>
        <w:instrText xml:space="preserve"> SEQ Table \* ARABIC </w:instrText>
      </w:r>
      <w:r w:rsidRPr="00E761A3">
        <w:rPr>
          <w:rFonts w:eastAsia="Calibri"/>
          <w:i w:val="0"/>
          <w:iCs w:val="0"/>
          <w:color w:val="auto"/>
          <w:sz w:val="24"/>
          <w:szCs w:val="24"/>
        </w:rPr>
        <w:fldChar w:fldCharType="separate"/>
      </w:r>
      <w:r w:rsidR="008978E2">
        <w:rPr>
          <w:rFonts w:eastAsia="Calibri"/>
          <w:i w:val="0"/>
          <w:iCs w:val="0"/>
          <w:noProof/>
          <w:color w:val="auto"/>
          <w:sz w:val="24"/>
          <w:szCs w:val="24"/>
        </w:rPr>
        <w:t>1</w:t>
      </w:r>
      <w:r w:rsidRPr="00E761A3">
        <w:rPr>
          <w:rFonts w:eastAsia="Calibri"/>
          <w:i w:val="0"/>
          <w:iCs w:val="0"/>
          <w:color w:val="auto"/>
          <w:sz w:val="24"/>
          <w:szCs w:val="24"/>
        </w:rPr>
        <w:fldChar w:fldCharType="end"/>
      </w:r>
      <w:bookmarkEnd w:id="67"/>
      <w:r w:rsidRPr="00E761A3">
        <w:rPr>
          <w:rFonts w:eastAsia="Calibri"/>
          <w:i w:val="0"/>
          <w:iCs w:val="0"/>
          <w:color w:val="auto"/>
          <w:sz w:val="24"/>
          <w:szCs w:val="24"/>
        </w:rPr>
        <w:t>: Sociodemographic Characteristics of Suspected Measles Cases, Malawi, April 2023–December 2024</w:t>
      </w:r>
      <w:bookmarkEnd w:id="6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60"/>
        <w:gridCol w:w="2000"/>
        <w:gridCol w:w="2000"/>
      </w:tblGrid>
      <w:tr w:rsidR="001A2889" w:rsidRPr="001A2889" w14:paraId="27DBC81B" w14:textId="77777777">
        <w:tc>
          <w:tcPr>
            <w:tcW w:w="536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05A111F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Characteristic</w:t>
            </w:r>
          </w:p>
        </w:tc>
        <w:tc>
          <w:tcPr>
            <w:tcW w:w="200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0F3BCCC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n</w:t>
            </w:r>
          </w:p>
        </w:tc>
        <w:tc>
          <w:tcPr>
            <w:tcW w:w="200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042C058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w:t>
            </w:r>
          </w:p>
        </w:tc>
      </w:tr>
      <w:tr w:rsidR="001A2889" w:rsidRPr="001A2889" w14:paraId="292140DC" w14:textId="77777777">
        <w:tc>
          <w:tcPr>
            <w:tcW w:w="5360" w:type="dxa"/>
            <w:tcBorders>
              <w:top w:val="nil"/>
              <w:left w:val="nil"/>
              <w:bottom w:val="nil"/>
              <w:right w:val="nil"/>
            </w:tcBorders>
            <w:tcMar>
              <w:top w:w="60" w:type="dxa"/>
              <w:left w:w="100" w:type="dxa"/>
              <w:bottom w:w="60" w:type="dxa"/>
              <w:right w:w="100" w:type="dxa"/>
            </w:tcMar>
            <w:vAlign w:val="center"/>
            <w:hideMark/>
          </w:tcPr>
          <w:p w14:paraId="35988E0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Sex</w:t>
            </w:r>
          </w:p>
        </w:tc>
        <w:tc>
          <w:tcPr>
            <w:tcW w:w="2000" w:type="dxa"/>
            <w:tcBorders>
              <w:top w:val="nil"/>
              <w:left w:val="nil"/>
              <w:bottom w:val="nil"/>
              <w:right w:val="nil"/>
            </w:tcBorders>
            <w:tcMar>
              <w:top w:w="60" w:type="dxa"/>
              <w:left w:w="100" w:type="dxa"/>
              <w:bottom w:w="60" w:type="dxa"/>
              <w:right w:w="100" w:type="dxa"/>
            </w:tcMar>
            <w:vAlign w:val="center"/>
          </w:tcPr>
          <w:p w14:paraId="388D4A55" w14:textId="77777777" w:rsidR="001A2889" w:rsidRPr="001A2889" w:rsidRDefault="001A2889" w:rsidP="001A2889">
            <w:pPr>
              <w:rPr>
                <w:rFonts w:ascii="Times New Roman" w:hAnsi="Times New Roman" w:cs="Times New Roman"/>
                <w:sz w:val="24"/>
                <w:szCs w:val="24"/>
              </w:rPr>
            </w:pPr>
          </w:p>
        </w:tc>
        <w:tc>
          <w:tcPr>
            <w:tcW w:w="2000" w:type="dxa"/>
            <w:tcBorders>
              <w:top w:val="nil"/>
              <w:left w:val="nil"/>
              <w:bottom w:val="nil"/>
              <w:right w:val="nil"/>
            </w:tcBorders>
            <w:tcMar>
              <w:top w:w="60" w:type="dxa"/>
              <w:left w:w="100" w:type="dxa"/>
              <w:bottom w:w="60" w:type="dxa"/>
              <w:right w:w="100" w:type="dxa"/>
            </w:tcMar>
            <w:vAlign w:val="center"/>
          </w:tcPr>
          <w:p w14:paraId="1F6963AA" w14:textId="77777777" w:rsidR="001A2889" w:rsidRPr="001A2889" w:rsidRDefault="001A2889" w:rsidP="001A2889">
            <w:pPr>
              <w:rPr>
                <w:rFonts w:ascii="Times New Roman" w:hAnsi="Times New Roman" w:cs="Times New Roman"/>
                <w:sz w:val="24"/>
                <w:szCs w:val="24"/>
              </w:rPr>
            </w:pPr>
          </w:p>
        </w:tc>
      </w:tr>
      <w:tr w:rsidR="001A2889" w:rsidRPr="001A2889" w14:paraId="337B4683" w14:textId="77777777">
        <w:tc>
          <w:tcPr>
            <w:tcW w:w="5360" w:type="dxa"/>
            <w:tcBorders>
              <w:top w:val="nil"/>
              <w:left w:val="nil"/>
              <w:bottom w:val="nil"/>
              <w:right w:val="nil"/>
            </w:tcBorders>
            <w:tcMar>
              <w:top w:w="60" w:type="dxa"/>
              <w:left w:w="100" w:type="dxa"/>
              <w:bottom w:w="60" w:type="dxa"/>
              <w:right w:w="100" w:type="dxa"/>
            </w:tcMar>
            <w:vAlign w:val="center"/>
            <w:hideMark/>
          </w:tcPr>
          <w:p w14:paraId="7BC1F21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Female</w:t>
            </w:r>
          </w:p>
        </w:tc>
        <w:tc>
          <w:tcPr>
            <w:tcW w:w="2000" w:type="dxa"/>
            <w:tcBorders>
              <w:top w:val="nil"/>
              <w:left w:val="nil"/>
              <w:bottom w:val="nil"/>
              <w:right w:val="nil"/>
            </w:tcBorders>
            <w:tcMar>
              <w:top w:w="60" w:type="dxa"/>
              <w:left w:w="100" w:type="dxa"/>
              <w:bottom w:w="60" w:type="dxa"/>
              <w:right w:w="100" w:type="dxa"/>
            </w:tcMar>
            <w:vAlign w:val="center"/>
            <w:hideMark/>
          </w:tcPr>
          <w:p w14:paraId="5A704E3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447</w:t>
            </w:r>
          </w:p>
        </w:tc>
        <w:tc>
          <w:tcPr>
            <w:tcW w:w="2000" w:type="dxa"/>
            <w:tcBorders>
              <w:top w:val="nil"/>
              <w:left w:val="nil"/>
              <w:bottom w:val="nil"/>
              <w:right w:val="nil"/>
            </w:tcBorders>
            <w:tcMar>
              <w:top w:w="60" w:type="dxa"/>
              <w:left w:w="100" w:type="dxa"/>
              <w:bottom w:w="60" w:type="dxa"/>
              <w:right w:w="100" w:type="dxa"/>
            </w:tcMar>
            <w:vAlign w:val="center"/>
            <w:hideMark/>
          </w:tcPr>
          <w:p w14:paraId="21757E4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44%</w:t>
            </w:r>
          </w:p>
        </w:tc>
      </w:tr>
      <w:tr w:rsidR="001A2889" w:rsidRPr="001A2889" w14:paraId="425657E9" w14:textId="77777777">
        <w:tc>
          <w:tcPr>
            <w:tcW w:w="5360" w:type="dxa"/>
            <w:tcBorders>
              <w:top w:val="nil"/>
              <w:left w:val="nil"/>
              <w:bottom w:val="nil"/>
              <w:right w:val="nil"/>
            </w:tcBorders>
            <w:tcMar>
              <w:top w:w="60" w:type="dxa"/>
              <w:left w:w="100" w:type="dxa"/>
              <w:bottom w:w="60" w:type="dxa"/>
              <w:right w:w="100" w:type="dxa"/>
            </w:tcMar>
            <w:vAlign w:val="center"/>
            <w:hideMark/>
          </w:tcPr>
          <w:p w14:paraId="1B4CD0B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Male</w:t>
            </w:r>
          </w:p>
        </w:tc>
        <w:tc>
          <w:tcPr>
            <w:tcW w:w="2000" w:type="dxa"/>
            <w:tcBorders>
              <w:top w:val="nil"/>
              <w:left w:val="nil"/>
              <w:bottom w:val="nil"/>
              <w:right w:val="nil"/>
            </w:tcBorders>
            <w:tcMar>
              <w:top w:w="60" w:type="dxa"/>
              <w:left w:w="100" w:type="dxa"/>
              <w:bottom w:w="60" w:type="dxa"/>
              <w:right w:w="100" w:type="dxa"/>
            </w:tcMar>
            <w:vAlign w:val="center"/>
            <w:hideMark/>
          </w:tcPr>
          <w:p w14:paraId="6CEF5D4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559</w:t>
            </w:r>
          </w:p>
        </w:tc>
        <w:tc>
          <w:tcPr>
            <w:tcW w:w="2000" w:type="dxa"/>
            <w:tcBorders>
              <w:top w:val="nil"/>
              <w:left w:val="nil"/>
              <w:bottom w:val="nil"/>
              <w:right w:val="nil"/>
            </w:tcBorders>
            <w:tcMar>
              <w:top w:w="60" w:type="dxa"/>
              <w:left w:w="100" w:type="dxa"/>
              <w:bottom w:w="60" w:type="dxa"/>
              <w:right w:w="100" w:type="dxa"/>
            </w:tcMar>
            <w:vAlign w:val="center"/>
            <w:hideMark/>
          </w:tcPr>
          <w:p w14:paraId="35DB8A5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56%</w:t>
            </w:r>
          </w:p>
        </w:tc>
      </w:tr>
      <w:tr w:rsidR="001A2889" w:rsidRPr="001A2889" w14:paraId="6CB4342C" w14:textId="77777777">
        <w:tc>
          <w:tcPr>
            <w:tcW w:w="5360" w:type="dxa"/>
            <w:tcBorders>
              <w:top w:val="nil"/>
              <w:left w:val="nil"/>
              <w:bottom w:val="nil"/>
              <w:right w:val="nil"/>
            </w:tcBorders>
            <w:tcMar>
              <w:top w:w="60" w:type="dxa"/>
              <w:left w:w="100" w:type="dxa"/>
              <w:bottom w:w="60" w:type="dxa"/>
              <w:right w:w="100" w:type="dxa"/>
            </w:tcMar>
            <w:vAlign w:val="center"/>
            <w:hideMark/>
          </w:tcPr>
          <w:p w14:paraId="0577639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Age group</w:t>
            </w:r>
          </w:p>
        </w:tc>
        <w:tc>
          <w:tcPr>
            <w:tcW w:w="2000" w:type="dxa"/>
            <w:tcBorders>
              <w:top w:val="nil"/>
              <w:left w:val="nil"/>
              <w:bottom w:val="nil"/>
              <w:right w:val="nil"/>
            </w:tcBorders>
            <w:tcMar>
              <w:top w:w="60" w:type="dxa"/>
              <w:left w:w="100" w:type="dxa"/>
              <w:bottom w:w="60" w:type="dxa"/>
              <w:right w:w="100" w:type="dxa"/>
            </w:tcMar>
            <w:vAlign w:val="center"/>
          </w:tcPr>
          <w:p w14:paraId="5035029B" w14:textId="77777777" w:rsidR="001A2889" w:rsidRPr="001A2889" w:rsidRDefault="001A2889" w:rsidP="001A2889">
            <w:pPr>
              <w:rPr>
                <w:rFonts w:ascii="Times New Roman" w:hAnsi="Times New Roman" w:cs="Times New Roman"/>
                <w:sz w:val="24"/>
                <w:szCs w:val="24"/>
              </w:rPr>
            </w:pPr>
          </w:p>
        </w:tc>
        <w:tc>
          <w:tcPr>
            <w:tcW w:w="2000" w:type="dxa"/>
            <w:tcBorders>
              <w:top w:val="nil"/>
              <w:left w:val="nil"/>
              <w:bottom w:val="nil"/>
              <w:right w:val="nil"/>
            </w:tcBorders>
            <w:tcMar>
              <w:top w:w="60" w:type="dxa"/>
              <w:left w:w="100" w:type="dxa"/>
              <w:bottom w:w="60" w:type="dxa"/>
              <w:right w:w="100" w:type="dxa"/>
            </w:tcMar>
            <w:vAlign w:val="center"/>
          </w:tcPr>
          <w:p w14:paraId="1CB1D139" w14:textId="77777777" w:rsidR="001A2889" w:rsidRPr="001A2889" w:rsidRDefault="001A2889" w:rsidP="001A2889">
            <w:pPr>
              <w:rPr>
                <w:rFonts w:ascii="Times New Roman" w:hAnsi="Times New Roman" w:cs="Times New Roman"/>
                <w:sz w:val="24"/>
                <w:szCs w:val="24"/>
              </w:rPr>
            </w:pPr>
          </w:p>
        </w:tc>
      </w:tr>
      <w:tr w:rsidR="001A2889" w:rsidRPr="001A2889" w14:paraId="3A1D4121" w14:textId="77777777">
        <w:tc>
          <w:tcPr>
            <w:tcW w:w="5360" w:type="dxa"/>
            <w:tcBorders>
              <w:top w:val="nil"/>
              <w:left w:val="nil"/>
              <w:bottom w:val="nil"/>
              <w:right w:val="nil"/>
            </w:tcBorders>
            <w:tcMar>
              <w:top w:w="60" w:type="dxa"/>
              <w:left w:w="100" w:type="dxa"/>
              <w:bottom w:w="60" w:type="dxa"/>
              <w:right w:w="100" w:type="dxa"/>
            </w:tcMar>
            <w:vAlign w:val="center"/>
            <w:hideMark/>
          </w:tcPr>
          <w:p w14:paraId="58426C3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&lt;9 months</w:t>
            </w:r>
          </w:p>
        </w:tc>
        <w:tc>
          <w:tcPr>
            <w:tcW w:w="2000" w:type="dxa"/>
            <w:tcBorders>
              <w:top w:val="nil"/>
              <w:left w:val="nil"/>
              <w:bottom w:val="nil"/>
              <w:right w:val="nil"/>
            </w:tcBorders>
            <w:tcMar>
              <w:top w:w="60" w:type="dxa"/>
              <w:left w:w="100" w:type="dxa"/>
              <w:bottom w:w="60" w:type="dxa"/>
              <w:right w:w="100" w:type="dxa"/>
            </w:tcMar>
            <w:vAlign w:val="center"/>
            <w:hideMark/>
          </w:tcPr>
          <w:p w14:paraId="073ECAC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131</w:t>
            </w:r>
          </w:p>
        </w:tc>
        <w:tc>
          <w:tcPr>
            <w:tcW w:w="2000" w:type="dxa"/>
            <w:tcBorders>
              <w:top w:val="nil"/>
              <w:left w:val="nil"/>
              <w:bottom w:val="nil"/>
              <w:right w:val="nil"/>
            </w:tcBorders>
            <w:tcMar>
              <w:top w:w="60" w:type="dxa"/>
              <w:left w:w="100" w:type="dxa"/>
              <w:bottom w:w="60" w:type="dxa"/>
              <w:right w:w="100" w:type="dxa"/>
            </w:tcMar>
            <w:vAlign w:val="center"/>
            <w:hideMark/>
          </w:tcPr>
          <w:p w14:paraId="0EF7239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52%</w:t>
            </w:r>
          </w:p>
        </w:tc>
      </w:tr>
      <w:tr w:rsidR="001A2889" w:rsidRPr="001A2889" w14:paraId="65D5CD07" w14:textId="77777777">
        <w:tc>
          <w:tcPr>
            <w:tcW w:w="5360" w:type="dxa"/>
            <w:tcBorders>
              <w:top w:val="nil"/>
              <w:left w:val="nil"/>
              <w:bottom w:val="nil"/>
              <w:right w:val="nil"/>
            </w:tcBorders>
            <w:tcMar>
              <w:top w:w="60" w:type="dxa"/>
              <w:left w:w="100" w:type="dxa"/>
              <w:bottom w:w="60" w:type="dxa"/>
              <w:right w:w="100" w:type="dxa"/>
            </w:tcMar>
            <w:vAlign w:val="center"/>
            <w:hideMark/>
          </w:tcPr>
          <w:p w14:paraId="0F5870B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9–23 months</w:t>
            </w:r>
          </w:p>
        </w:tc>
        <w:tc>
          <w:tcPr>
            <w:tcW w:w="2000" w:type="dxa"/>
            <w:tcBorders>
              <w:top w:val="nil"/>
              <w:left w:val="nil"/>
              <w:bottom w:val="nil"/>
              <w:right w:val="nil"/>
            </w:tcBorders>
            <w:tcMar>
              <w:top w:w="60" w:type="dxa"/>
              <w:left w:w="100" w:type="dxa"/>
              <w:bottom w:w="60" w:type="dxa"/>
              <w:right w:w="100" w:type="dxa"/>
            </w:tcMar>
            <w:vAlign w:val="center"/>
            <w:hideMark/>
          </w:tcPr>
          <w:p w14:paraId="4EE8311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12</w:t>
            </w:r>
          </w:p>
        </w:tc>
        <w:tc>
          <w:tcPr>
            <w:tcW w:w="2000" w:type="dxa"/>
            <w:tcBorders>
              <w:top w:val="nil"/>
              <w:left w:val="nil"/>
              <w:bottom w:val="nil"/>
              <w:right w:val="nil"/>
            </w:tcBorders>
            <w:tcMar>
              <w:top w:w="60" w:type="dxa"/>
              <w:left w:w="100" w:type="dxa"/>
              <w:bottom w:w="60" w:type="dxa"/>
              <w:right w:w="100" w:type="dxa"/>
            </w:tcMar>
            <w:vAlign w:val="center"/>
            <w:hideMark/>
          </w:tcPr>
          <w:p w14:paraId="3CB0CDD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4.8%</w:t>
            </w:r>
          </w:p>
        </w:tc>
      </w:tr>
      <w:tr w:rsidR="001A2889" w:rsidRPr="001A2889" w14:paraId="0BF81FBA" w14:textId="77777777">
        <w:tc>
          <w:tcPr>
            <w:tcW w:w="5360" w:type="dxa"/>
            <w:tcBorders>
              <w:top w:val="nil"/>
              <w:left w:val="nil"/>
              <w:bottom w:val="nil"/>
              <w:right w:val="nil"/>
            </w:tcBorders>
            <w:tcMar>
              <w:top w:w="60" w:type="dxa"/>
              <w:left w:w="100" w:type="dxa"/>
              <w:bottom w:w="60" w:type="dxa"/>
              <w:right w:w="100" w:type="dxa"/>
            </w:tcMar>
            <w:vAlign w:val="center"/>
            <w:hideMark/>
          </w:tcPr>
          <w:p w14:paraId="5627858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2–4 years</w:t>
            </w:r>
          </w:p>
        </w:tc>
        <w:tc>
          <w:tcPr>
            <w:tcW w:w="2000" w:type="dxa"/>
            <w:tcBorders>
              <w:top w:val="nil"/>
              <w:left w:val="nil"/>
              <w:bottom w:val="nil"/>
              <w:right w:val="nil"/>
            </w:tcBorders>
            <w:tcMar>
              <w:top w:w="60" w:type="dxa"/>
              <w:left w:w="100" w:type="dxa"/>
              <w:bottom w:w="60" w:type="dxa"/>
              <w:right w:w="100" w:type="dxa"/>
            </w:tcMar>
            <w:vAlign w:val="center"/>
            <w:hideMark/>
          </w:tcPr>
          <w:p w14:paraId="453A227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35</w:t>
            </w:r>
          </w:p>
        </w:tc>
        <w:tc>
          <w:tcPr>
            <w:tcW w:w="2000" w:type="dxa"/>
            <w:tcBorders>
              <w:top w:val="nil"/>
              <w:left w:val="nil"/>
              <w:bottom w:val="nil"/>
              <w:right w:val="nil"/>
            </w:tcBorders>
            <w:tcMar>
              <w:top w:w="60" w:type="dxa"/>
              <w:left w:w="100" w:type="dxa"/>
              <w:bottom w:w="60" w:type="dxa"/>
              <w:right w:w="100" w:type="dxa"/>
            </w:tcMar>
            <w:vAlign w:val="center"/>
            <w:hideMark/>
          </w:tcPr>
          <w:p w14:paraId="6248552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14%</w:t>
            </w:r>
          </w:p>
        </w:tc>
      </w:tr>
      <w:tr w:rsidR="001A2889" w:rsidRPr="001A2889" w14:paraId="32C5104E" w14:textId="77777777">
        <w:tc>
          <w:tcPr>
            <w:tcW w:w="5360" w:type="dxa"/>
            <w:tcBorders>
              <w:top w:val="nil"/>
              <w:left w:val="nil"/>
              <w:bottom w:val="nil"/>
              <w:right w:val="nil"/>
            </w:tcBorders>
            <w:tcMar>
              <w:top w:w="60" w:type="dxa"/>
              <w:left w:w="100" w:type="dxa"/>
              <w:bottom w:w="60" w:type="dxa"/>
              <w:right w:w="100" w:type="dxa"/>
            </w:tcMar>
            <w:vAlign w:val="center"/>
            <w:hideMark/>
          </w:tcPr>
          <w:p w14:paraId="48E5D28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lastRenderedPageBreak/>
              <w:t>5–17 years</w:t>
            </w:r>
          </w:p>
        </w:tc>
        <w:tc>
          <w:tcPr>
            <w:tcW w:w="2000" w:type="dxa"/>
            <w:tcBorders>
              <w:top w:val="nil"/>
              <w:left w:val="nil"/>
              <w:bottom w:val="nil"/>
              <w:right w:val="nil"/>
            </w:tcBorders>
            <w:tcMar>
              <w:top w:w="60" w:type="dxa"/>
              <w:left w:w="100" w:type="dxa"/>
              <w:bottom w:w="60" w:type="dxa"/>
              <w:right w:w="100" w:type="dxa"/>
            </w:tcMar>
            <w:vAlign w:val="center"/>
            <w:hideMark/>
          </w:tcPr>
          <w:p w14:paraId="33CA421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63</w:t>
            </w:r>
          </w:p>
        </w:tc>
        <w:tc>
          <w:tcPr>
            <w:tcW w:w="2000" w:type="dxa"/>
            <w:tcBorders>
              <w:top w:val="nil"/>
              <w:left w:val="nil"/>
              <w:bottom w:val="nil"/>
              <w:right w:val="nil"/>
            </w:tcBorders>
            <w:tcMar>
              <w:top w:w="60" w:type="dxa"/>
              <w:left w:w="100" w:type="dxa"/>
              <w:bottom w:w="60" w:type="dxa"/>
              <w:right w:w="100" w:type="dxa"/>
            </w:tcMar>
            <w:vAlign w:val="center"/>
            <w:hideMark/>
          </w:tcPr>
          <w:p w14:paraId="7157076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25%</w:t>
            </w:r>
          </w:p>
        </w:tc>
      </w:tr>
      <w:tr w:rsidR="001A2889" w:rsidRPr="001A2889" w14:paraId="6F440134" w14:textId="77777777">
        <w:tc>
          <w:tcPr>
            <w:tcW w:w="5360" w:type="dxa"/>
            <w:tcBorders>
              <w:top w:val="nil"/>
              <w:left w:val="nil"/>
              <w:bottom w:val="nil"/>
              <w:right w:val="nil"/>
            </w:tcBorders>
            <w:tcMar>
              <w:top w:w="60" w:type="dxa"/>
              <w:left w:w="100" w:type="dxa"/>
              <w:bottom w:w="60" w:type="dxa"/>
              <w:right w:w="100" w:type="dxa"/>
            </w:tcMar>
            <w:vAlign w:val="center"/>
            <w:hideMark/>
          </w:tcPr>
          <w:p w14:paraId="4D0F583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18+ years</w:t>
            </w:r>
          </w:p>
        </w:tc>
        <w:tc>
          <w:tcPr>
            <w:tcW w:w="2000" w:type="dxa"/>
            <w:tcBorders>
              <w:top w:val="nil"/>
              <w:left w:val="nil"/>
              <w:bottom w:val="nil"/>
              <w:right w:val="nil"/>
            </w:tcBorders>
            <w:tcMar>
              <w:top w:w="60" w:type="dxa"/>
              <w:left w:w="100" w:type="dxa"/>
              <w:bottom w:w="60" w:type="dxa"/>
              <w:right w:w="100" w:type="dxa"/>
            </w:tcMar>
            <w:vAlign w:val="center"/>
            <w:hideMark/>
          </w:tcPr>
          <w:p w14:paraId="60B8856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w:t>
            </w:r>
          </w:p>
        </w:tc>
        <w:tc>
          <w:tcPr>
            <w:tcW w:w="2000" w:type="dxa"/>
            <w:tcBorders>
              <w:top w:val="nil"/>
              <w:left w:val="nil"/>
              <w:bottom w:val="nil"/>
              <w:right w:val="nil"/>
            </w:tcBorders>
            <w:tcMar>
              <w:top w:w="60" w:type="dxa"/>
              <w:left w:w="100" w:type="dxa"/>
              <w:bottom w:w="60" w:type="dxa"/>
              <w:right w:w="100" w:type="dxa"/>
            </w:tcMar>
            <w:vAlign w:val="center"/>
            <w:hideMark/>
          </w:tcPr>
          <w:p w14:paraId="21E1D20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4.0%</w:t>
            </w:r>
          </w:p>
        </w:tc>
      </w:tr>
      <w:tr w:rsidR="001A2889" w:rsidRPr="001A2889" w14:paraId="03354FFE" w14:textId="77777777">
        <w:tc>
          <w:tcPr>
            <w:tcW w:w="5360" w:type="dxa"/>
            <w:tcBorders>
              <w:top w:val="nil"/>
              <w:left w:val="nil"/>
              <w:bottom w:val="nil"/>
              <w:right w:val="nil"/>
            </w:tcBorders>
            <w:tcMar>
              <w:top w:w="60" w:type="dxa"/>
              <w:left w:w="100" w:type="dxa"/>
              <w:bottom w:w="60" w:type="dxa"/>
              <w:right w:w="100" w:type="dxa"/>
            </w:tcMar>
            <w:vAlign w:val="center"/>
            <w:hideMark/>
          </w:tcPr>
          <w:p w14:paraId="1EEF28D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Region</w:t>
            </w:r>
          </w:p>
        </w:tc>
        <w:tc>
          <w:tcPr>
            <w:tcW w:w="2000" w:type="dxa"/>
            <w:tcBorders>
              <w:top w:val="nil"/>
              <w:left w:val="nil"/>
              <w:bottom w:val="nil"/>
              <w:right w:val="nil"/>
            </w:tcBorders>
            <w:tcMar>
              <w:top w:w="60" w:type="dxa"/>
              <w:left w:w="100" w:type="dxa"/>
              <w:bottom w:w="60" w:type="dxa"/>
              <w:right w:w="100" w:type="dxa"/>
            </w:tcMar>
            <w:vAlign w:val="center"/>
          </w:tcPr>
          <w:p w14:paraId="57FEB12C" w14:textId="77777777" w:rsidR="001A2889" w:rsidRPr="001A2889" w:rsidRDefault="001A2889" w:rsidP="001A2889">
            <w:pPr>
              <w:rPr>
                <w:rFonts w:ascii="Times New Roman" w:hAnsi="Times New Roman" w:cs="Times New Roman"/>
                <w:sz w:val="24"/>
                <w:szCs w:val="24"/>
              </w:rPr>
            </w:pPr>
          </w:p>
        </w:tc>
        <w:tc>
          <w:tcPr>
            <w:tcW w:w="2000" w:type="dxa"/>
            <w:tcBorders>
              <w:top w:val="nil"/>
              <w:left w:val="nil"/>
              <w:bottom w:val="nil"/>
              <w:right w:val="nil"/>
            </w:tcBorders>
            <w:tcMar>
              <w:top w:w="60" w:type="dxa"/>
              <w:left w:w="100" w:type="dxa"/>
              <w:bottom w:w="60" w:type="dxa"/>
              <w:right w:w="100" w:type="dxa"/>
            </w:tcMar>
            <w:vAlign w:val="center"/>
          </w:tcPr>
          <w:p w14:paraId="60DFC27E" w14:textId="77777777" w:rsidR="001A2889" w:rsidRPr="001A2889" w:rsidRDefault="001A2889" w:rsidP="001A2889">
            <w:pPr>
              <w:rPr>
                <w:rFonts w:ascii="Times New Roman" w:hAnsi="Times New Roman" w:cs="Times New Roman"/>
                <w:sz w:val="24"/>
                <w:szCs w:val="24"/>
              </w:rPr>
            </w:pPr>
          </w:p>
        </w:tc>
      </w:tr>
      <w:tr w:rsidR="001A2889" w:rsidRPr="001A2889" w14:paraId="0211D910" w14:textId="77777777">
        <w:tc>
          <w:tcPr>
            <w:tcW w:w="5360" w:type="dxa"/>
            <w:tcBorders>
              <w:top w:val="nil"/>
              <w:left w:val="nil"/>
              <w:bottom w:val="nil"/>
              <w:right w:val="nil"/>
            </w:tcBorders>
            <w:tcMar>
              <w:top w:w="60" w:type="dxa"/>
              <w:left w:w="100" w:type="dxa"/>
              <w:bottom w:w="60" w:type="dxa"/>
              <w:right w:w="100" w:type="dxa"/>
            </w:tcMar>
            <w:vAlign w:val="center"/>
            <w:hideMark/>
          </w:tcPr>
          <w:p w14:paraId="2F4A6C3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Northern</w:t>
            </w:r>
          </w:p>
        </w:tc>
        <w:tc>
          <w:tcPr>
            <w:tcW w:w="2000" w:type="dxa"/>
            <w:tcBorders>
              <w:top w:val="nil"/>
              <w:left w:val="nil"/>
              <w:bottom w:val="nil"/>
              <w:right w:val="nil"/>
            </w:tcBorders>
            <w:tcMar>
              <w:top w:w="60" w:type="dxa"/>
              <w:left w:w="100" w:type="dxa"/>
              <w:bottom w:w="60" w:type="dxa"/>
              <w:right w:w="100" w:type="dxa"/>
            </w:tcMar>
            <w:vAlign w:val="center"/>
            <w:hideMark/>
          </w:tcPr>
          <w:p w14:paraId="552527A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115</w:t>
            </w:r>
          </w:p>
        </w:tc>
        <w:tc>
          <w:tcPr>
            <w:tcW w:w="2000" w:type="dxa"/>
            <w:tcBorders>
              <w:top w:val="nil"/>
              <w:left w:val="nil"/>
              <w:bottom w:val="nil"/>
              <w:right w:val="nil"/>
            </w:tcBorders>
            <w:tcMar>
              <w:top w:w="60" w:type="dxa"/>
              <w:left w:w="100" w:type="dxa"/>
              <w:bottom w:w="60" w:type="dxa"/>
              <w:right w:w="100" w:type="dxa"/>
            </w:tcMar>
            <w:vAlign w:val="center"/>
            <w:hideMark/>
          </w:tcPr>
          <w:p w14:paraId="0D6F4E0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11%</w:t>
            </w:r>
          </w:p>
        </w:tc>
      </w:tr>
      <w:tr w:rsidR="001A2889" w:rsidRPr="001A2889" w14:paraId="54237391" w14:textId="77777777">
        <w:tc>
          <w:tcPr>
            <w:tcW w:w="5360" w:type="dxa"/>
            <w:tcBorders>
              <w:top w:val="nil"/>
              <w:left w:val="nil"/>
              <w:bottom w:val="nil"/>
              <w:right w:val="nil"/>
            </w:tcBorders>
            <w:tcMar>
              <w:top w:w="60" w:type="dxa"/>
              <w:left w:w="100" w:type="dxa"/>
              <w:bottom w:w="60" w:type="dxa"/>
              <w:right w:w="100" w:type="dxa"/>
            </w:tcMar>
            <w:vAlign w:val="center"/>
            <w:hideMark/>
          </w:tcPr>
          <w:p w14:paraId="01C0DED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Central</w:t>
            </w:r>
          </w:p>
        </w:tc>
        <w:tc>
          <w:tcPr>
            <w:tcW w:w="2000" w:type="dxa"/>
            <w:tcBorders>
              <w:top w:val="nil"/>
              <w:left w:val="nil"/>
              <w:bottom w:val="nil"/>
              <w:right w:val="nil"/>
            </w:tcBorders>
            <w:tcMar>
              <w:top w:w="60" w:type="dxa"/>
              <w:left w:w="100" w:type="dxa"/>
              <w:bottom w:w="60" w:type="dxa"/>
              <w:right w:w="100" w:type="dxa"/>
            </w:tcMar>
            <w:vAlign w:val="center"/>
            <w:hideMark/>
          </w:tcPr>
          <w:p w14:paraId="5F32393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548</w:t>
            </w:r>
          </w:p>
        </w:tc>
        <w:tc>
          <w:tcPr>
            <w:tcW w:w="2000" w:type="dxa"/>
            <w:tcBorders>
              <w:top w:val="nil"/>
              <w:left w:val="nil"/>
              <w:bottom w:val="nil"/>
              <w:right w:val="nil"/>
            </w:tcBorders>
            <w:tcMar>
              <w:top w:w="60" w:type="dxa"/>
              <w:left w:w="100" w:type="dxa"/>
              <w:bottom w:w="60" w:type="dxa"/>
              <w:right w:w="100" w:type="dxa"/>
            </w:tcMar>
            <w:vAlign w:val="center"/>
            <w:hideMark/>
          </w:tcPr>
          <w:p w14:paraId="24C9288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50%</w:t>
            </w:r>
          </w:p>
        </w:tc>
      </w:tr>
      <w:tr w:rsidR="001A2889" w:rsidRPr="001A2889" w14:paraId="0D8FF8E8" w14:textId="77777777">
        <w:tc>
          <w:tcPr>
            <w:tcW w:w="5360" w:type="dxa"/>
            <w:tcBorders>
              <w:top w:val="nil"/>
              <w:left w:val="nil"/>
              <w:bottom w:val="single" w:sz="4" w:space="0" w:color="000000"/>
              <w:right w:val="nil"/>
            </w:tcBorders>
            <w:tcMar>
              <w:top w:w="60" w:type="dxa"/>
              <w:left w:w="100" w:type="dxa"/>
              <w:bottom w:w="60" w:type="dxa"/>
              <w:right w:w="100" w:type="dxa"/>
            </w:tcMar>
            <w:vAlign w:val="center"/>
            <w:hideMark/>
          </w:tcPr>
          <w:p w14:paraId="6F155CF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Southern</w:t>
            </w:r>
          </w:p>
        </w:tc>
        <w:tc>
          <w:tcPr>
            <w:tcW w:w="2000" w:type="dxa"/>
            <w:tcBorders>
              <w:top w:val="nil"/>
              <w:left w:val="nil"/>
              <w:bottom w:val="single" w:sz="4" w:space="0" w:color="000000"/>
              <w:right w:val="nil"/>
            </w:tcBorders>
            <w:tcMar>
              <w:top w:w="60" w:type="dxa"/>
              <w:left w:w="100" w:type="dxa"/>
              <w:bottom w:w="60" w:type="dxa"/>
              <w:right w:w="100" w:type="dxa"/>
            </w:tcMar>
            <w:vAlign w:val="center"/>
            <w:hideMark/>
          </w:tcPr>
          <w:p w14:paraId="219B462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427</w:t>
            </w:r>
          </w:p>
        </w:tc>
        <w:tc>
          <w:tcPr>
            <w:tcW w:w="2000" w:type="dxa"/>
            <w:tcBorders>
              <w:top w:val="nil"/>
              <w:left w:val="nil"/>
              <w:bottom w:val="single" w:sz="4" w:space="0" w:color="000000"/>
              <w:right w:val="nil"/>
            </w:tcBorders>
            <w:tcMar>
              <w:top w:w="60" w:type="dxa"/>
              <w:left w:w="100" w:type="dxa"/>
              <w:bottom w:w="60" w:type="dxa"/>
              <w:right w:w="100" w:type="dxa"/>
            </w:tcMar>
            <w:vAlign w:val="center"/>
            <w:hideMark/>
          </w:tcPr>
          <w:p w14:paraId="5CDFB78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39%</w:t>
            </w:r>
          </w:p>
        </w:tc>
      </w:tr>
    </w:tbl>
    <w:p w14:paraId="674C875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i/>
          <w:iCs/>
          <w:sz w:val="24"/>
          <w:szCs w:val="24"/>
        </w:rPr>
        <w:t xml:space="preserve">Note. </w:t>
      </w:r>
      <w:r w:rsidRPr="001A2889">
        <w:rPr>
          <w:rFonts w:ascii="Times New Roman" w:hAnsi="Times New Roman" w:cs="Times New Roman"/>
          <w:sz w:val="24"/>
          <w:szCs w:val="24"/>
        </w:rPr>
        <w:t>N = 1,191. Age group percentages are calculated from cases with complete age data (n = 251). Regional percentages are calculated from the full dataset.</w:t>
      </w:r>
    </w:p>
    <w:p w14:paraId="7DF1E5A1" w14:textId="77777777" w:rsidR="001A2889" w:rsidRPr="001A2889" w:rsidRDefault="001A2889" w:rsidP="001A2889">
      <w:pPr>
        <w:rPr>
          <w:rFonts w:ascii="Times New Roman" w:hAnsi="Times New Roman" w:cs="Times New Roman"/>
          <w:sz w:val="24"/>
          <w:szCs w:val="24"/>
        </w:rPr>
      </w:pPr>
    </w:p>
    <w:p w14:paraId="44035271" w14:textId="77777777" w:rsid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Male cases (56%, n = 559) outnumbered female cases (44%, n = 447). Among cases with complete age data (n = 251), more than half (52%, n = 131) occurred in children younger than nine months, the age group that falls below the routine measles vaccination schedule. Cases from the Central region accounted for half of the sample (50%, n = 548), followed by the Southern region (39%, n = 427) and the Northern region (11%, n = 115).</w:t>
      </w:r>
    </w:p>
    <w:p w14:paraId="3FDD3CE7" w14:textId="77777777" w:rsidR="00E761A3" w:rsidRPr="001A2889" w:rsidRDefault="00E761A3" w:rsidP="0038502B">
      <w:pPr>
        <w:spacing w:line="480" w:lineRule="auto"/>
        <w:rPr>
          <w:rFonts w:ascii="Times New Roman" w:hAnsi="Times New Roman" w:cs="Times New Roman"/>
          <w:sz w:val="24"/>
          <w:szCs w:val="24"/>
        </w:rPr>
      </w:pPr>
    </w:p>
    <w:p w14:paraId="4E7E83C1" w14:textId="7D45C8B6" w:rsidR="001A2889" w:rsidRPr="001A2889" w:rsidRDefault="001A2889" w:rsidP="00E761A3">
      <w:pPr>
        <w:pStyle w:val="Heading2"/>
      </w:pPr>
      <w:bookmarkStart w:id="69" w:name="_Toc232844542"/>
      <w:bookmarkStart w:id="70" w:name="_Toc232850327"/>
      <w:r w:rsidRPr="001A2889">
        <w:t>Overall Seroprevalence of Measles IgM Antibodies</w:t>
      </w:r>
      <w:bookmarkEnd w:id="69"/>
      <w:bookmarkEnd w:id="70"/>
    </w:p>
    <w:p w14:paraId="6691609F" w14:textId="25E96351" w:rsidR="001A2889" w:rsidRP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 xml:space="preserve">The first objective of the study was to determine the overall seroprevalence of measles IgM antibodies among suspected cases. </w:t>
      </w:r>
      <w:r w:rsidR="00E761A3">
        <w:rPr>
          <w:rFonts w:ascii="Times New Roman" w:hAnsi="Times New Roman" w:cs="Times New Roman"/>
          <w:sz w:val="24"/>
          <w:szCs w:val="24"/>
        </w:rPr>
        <w:fldChar w:fldCharType="begin"/>
      </w:r>
      <w:r w:rsidR="00E761A3">
        <w:rPr>
          <w:rFonts w:ascii="Times New Roman" w:hAnsi="Times New Roman" w:cs="Times New Roman"/>
          <w:sz w:val="24"/>
          <w:szCs w:val="24"/>
        </w:rPr>
        <w:instrText xml:space="preserve"> REF _Ref232835693 \h </w:instrText>
      </w:r>
      <w:r w:rsidR="00E761A3">
        <w:rPr>
          <w:rFonts w:ascii="Times New Roman" w:hAnsi="Times New Roman" w:cs="Times New Roman"/>
          <w:sz w:val="24"/>
          <w:szCs w:val="24"/>
        </w:rPr>
      </w:r>
      <w:r w:rsidR="00E761A3">
        <w:rPr>
          <w:rFonts w:ascii="Times New Roman" w:hAnsi="Times New Roman" w:cs="Times New Roman"/>
          <w:sz w:val="24"/>
          <w:szCs w:val="24"/>
        </w:rPr>
        <w:fldChar w:fldCharType="separate"/>
      </w:r>
      <w:r w:rsidR="00E761A3" w:rsidRPr="00E761A3">
        <w:rPr>
          <w:rFonts w:ascii="Times New Roman" w:hAnsi="Times New Roman" w:cs="Times New Roman"/>
          <w:sz w:val="24"/>
          <w:szCs w:val="24"/>
        </w:rPr>
        <w:t>Figure 2</w:t>
      </w:r>
      <w:r w:rsidR="00E761A3">
        <w:rPr>
          <w:rFonts w:ascii="Times New Roman" w:hAnsi="Times New Roman" w:cs="Times New Roman"/>
          <w:sz w:val="24"/>
          <w:szCs w:val="24"/>
        </w:rPr>
        <w:fldChar w:fldCharType="end"/>
      </w:r>
      <w:r w:rsidRPr="001A2889">
        <w:rPr>
          <w:rFonts w:ascii="Times New Roman" w:hAnsi="Times New Roman" w:cs="Times New Roman"/>
          <w:sz w:val="24"/>
          <w:szCs w:val="24"/>
        </w:rPr>
        <w:t xml:space="preserve"> presents the proportion of suspected cases that tested positive and negative for measles IgM antibodies.</w:t>
      </w:r>
    </w:p>
    <w:p w14:paraId="7234A7F9" w14:textId="03BDC836"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noProof/>
          <w:sz w:val="24"/>
          <w:szCs w:val="24"/>
        </w:rPr>
        <w:lastRenderedPageBreak/>
        <w:drawing>
          <wp:inline distT="0" distB="0" distL="0" distR="0" wp14:anchorId="34D8FD2F" wp14:editId="7D6E18E3">
            <wp:extent cx="5943600" cy="4457700"/>
            <wp:effectExtent l="0" t="0" r="0" b="0"/>
            <wp:docPr id="1190983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91CF118" w14:textId="127E5604" w:rsidR="001A2889" w:rsidRPr="001A2889" w:rsidRDefault="00E761A3" w:rsidP="00E761A3">
      <w:pPr>
        <w:spacing w:line="480" w:lineRule="auto"/>
        <w:rPr>
          <w:rFonts w:ascii="Times New Roman" w:hAnsi="Times New Roman" w:cs="Times New Roman"/>
          <w:sz w:val="24"/>
          <w:szCs w:val="24"/>
        </w:rPr>
      </w:pPr>
      <w:bookmarkStart w:id="71" w:name="_Ref232835693"/>
      <w:bookmarkStart w:id="72" w:name="_Toc232849052"/>
      <w:r w:rsidRPr="00E761A3">
        <w:rPr>
          <w:rFonts w:ascii="Times New Roman" w:hAnsi="Times New Roman" w:cs="Times New Roman"/>
          <w:sz w:val="24"/>
          <w:szCs w:val="24"/>
        </w:rPr>
        <w:t xml:space="preserve">Figure </w:t>
      </w:r>
      <w:r w:rsidRPr="00E761A3">
        <w:rPr>
          <w:rFonts w:ascii="Times New Roman" w:hAnsi="Times New Roman" w:cs="Times New Roman"/>
          <w:sz w:val="24"/>
          <w:szCs w:val="24"/>
        </w:rPr>
        <w:fldChar w:fldCharType="begin"/>
      </w:r>
      <w:r w:rsidRPr="00E761A3">
        <w:rPr>
          <w:rFonts w:ascii="Times New Roman" w:hAnsi="Times New Roman" w:cs="Times New Roman"/>
          <w:sz w:val="24"/>
          <w:szCs w:val="24"/>
        </w:rPr>
        <w:instrText xml:space="preserve"> SEQ Figure \* ARABIC </w:instrText>
      </w:r>
      <w:r w:rsidRPr="00E761A3">
        <w:rPr>
          <w:rFonts w:ascii="Times New Roman" w:hAnsi="Times New Roman" w:cs="Times New Roman"/>
          <w:sz w:val="24"/>
          <w:szCs w:val="24"/>
        </w:rPr>
        <w:fldChar w:fldCharType="separate"/>
      </w:r>
      <w:r w:rsidR="008978E2">
        <w:rPr>
          <w:rFonts w:ascii="Times New Roman" w:hAnsi="Times New Roman" w:cs="Times New Roman"/>
          <w:noProof/>
          <w:sz w:val="24"/>
          <w:szCs w:val="24"/>
        </w:rPr>
        <w:t>2</w:t>
      </w:r>
      <w:r w:rsidRPr="00E761A3">
        <w:rPr>
          <w:rFonts w:ascii="Times New Roman" w:hAnsi="Times New Roman" w:cs="Times New Roman"/>
          <w:sz w:val="24"/>
          <w:szCs w:val="24"/>
        </w:rPr>
        <w:fldChar w:fldCharType="end"/>
      </w:r>
      <w:bookmarkEnd w:id="71"/>
      <w:r w:rsidRPr="00E761A3">
        <w:rPr>
          <w:rFonts w:ascii="Times New Roman" w:hAnsi="Times New Roman" w:cs="Times New Roman"/>
          <w:sz w:val="24"/>
          <w:szCs w:val="24"/>
        </w:rPr>
        <w:t>: Measles IgM Seroprevalence Among Suspected Cases, Malawi, April 2023 to December 2024 (N = 1,191)</w:t>
      </w:r>
      <w:bookmarkEnd w:id="72"/>
    </w:p>
    <w:p w14:paraId="165A0674" w14:textId="77777777" w:rsidR="001A2889" w:rsidRP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Of the 1,191 suspected cases tested, the majority (70.1%, n = 835, 95% CI: 67.4–72.6) were IgM positive, while the remaining 29.9% (n = 356, 95% CI: 27.3–32.5) tested negative.</w:t>
      </w:r>
    </w:p>
    <w:p w14:paraId="16B656BA" w14:textId="6254D199" w:rsidR="001A2889" w:rsidRPr="001A2889" w:rsidRDefault="007E7411" w:rsidP="0038502B">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_Ref232835797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7E7411">
        <w:rPr>
          <w:rFonts w:ascii="Times New Roman" w:hAnsi="Times New Roman" w:cs="Times New Roman"/>
          <w:sz w:val="24"/>
          <w:szCs w:val="24"/>
        </w:rPr>
        <w:t>Figure 3</w:t>
      </w:r>
      <w:r>
        <w:rPr>
          <w:rFonts w:ascii="Times New Roman" w:hAnsi="Times New Roman" w:cs="Times New Roman"/>
          <w:sz w:val="24"/>
          <w:szCs w:val="24"/>
        </w:rPr>
        <w:fldChar w:fldCharType="end"/>
      </w:r>
      <w:r w:rsidR="001A2889" w:rsidRPr="001A2889">
        <w:rPr>
          <w:rFonts w:ascii="Times New Roman" w:hAnsi="Times New Roman" w:cs="Times New Roman"/>
          <w:sz w:val="24"/>
          <w:szCs w:val="24"/>
        </w:rPr>
        <w:t xml:space="preserve"> presents the monthly distribution of suspected cases tested and IgM-positive cases across the study period.</w:t>
      </w:r>
    </w:p>
    <w:p w14:paraId="6C29D517" w14:textId="38A7E6A3"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noProof/>
          <w:sz w:val="24"/>
          <w:szCs w:val="24"/>
        </w:rPr>
        <w:lastRenderedPageBreak/>
        <w:drawing>
          <wp:inline distT="0" distB="0" distL="0" distR="0" wp14:anchorId="0375CEE4" wp14:editId="73D11F3A">
            <wp:extent cx="5943600" cy="2971800"/>
            <wp:effectExtent l="0" t="0" r="0" b="0"/>
            <wp:docPr id="10230841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1BE0C40D" w14:textId="77777777" w:rsidR="001A2889" w:rsidRPr="001A2889" w:rsidRDefault="001A2889" w:rsidP="001A2889">
      <w:pPr>
        <w:rPr>
          <w:rFonts w:ascii="Times New Roman" w:hAnsi="Times New Roman" w:cs="Times New Roman"/>
          <w:b/>
          <w:bCs/>
          <w:sz w:val="24"/>
          <w:szCs w:val="24"/>
        </w:rPr>
      </w:pPr>
    </w:p>
    <w:p w14:paraId="6BA96FBF" w14:textId="5712AF3E" w:rsidR="00E761A3" w:rsidRPr="00E761A3" w:rsidRDefault="00E761A3" w:rsidP="00E761A3">
      <w:pPr>
        <w:pStyle w:val="Caption"/>
        <w:rPr>
          <w:rFonts w:eastAsia="Calibri"/>
          <w:i w:val="0"/>
          <w:iCs w:val="0"/>
          <w:color w:val="auto"/>
          <w:sz w:val="24"/>
          <w:szCs w:val="24"/>
        </w:rPr>
      </w:pPr>
      <w:bookmarkStart w:id="73" w:name="_Ref232835797"/>
      <w:bookmarkStart w:id="74" w:name="_Toc232849053"/>
      <w:r w:rsidRPr="00E761A3">
        <w:rPr>
          <w:rFonts w:eastAsia="Calibri"/>
          <w:i w:val="0"/>
          <w:iCs w:val="0"/>
          <w:color w:val="auto"/>
          <w:sz w:val="24"/>
          <w:szCs w:val="24"/>
        </w:rPr>
        <w:t xml:space="preserve">Figure </w:t>
      </w:r>
      <w:r w:rsidRPr="00E761A3">
        <w:rPr>
          <w:rFonts w:eastAsia="Calibri"/>
          <w:i w:val="0"/>
          <w:iCs w:val="0"/>
          <w:color w:val="auto"/>
          <w:sz w:val="24"/>
          <w:szCs w:val="24"/>
        </w:rPr>
        <w:fldChar w:fldCharType="begin"/>
      </w:r>
      <w:r w:rsidRPr="00E761A3">
        <w:rPr>
          <w:rFonts w:eastAsia="Calibri"/>
          <w:i w:val="0"/>
          <w:iCs w:val="0"/>
          <w:color w:val="auto"/>
          <w:sz w:val="24"/>
          <w:szCs w:val="24"/>
        </w:rPr>
        <w:instrText xml:space="preserve"> SEQ Figure \* ARABIC </w:instrText>
      </w:r>
      <w:r w:rsidRPr="00E761A3">
        <w:rPr>
          <w:rFonts w:eastAsia="Calibri"/>
          <w:i w:val="0"/>
          <w:iCs w:val="0"/>
          <w:color w:val="auto"/>
          <w:sz w:val="24"/>
          <w:szCs w:val="24"/>
        </w:rPr>
        <w:fldChar w:fldCharType="separate"/>
      </w:r>
      <w:r w:rsidR="008978E2">
        <w:rPr>
          <w:rFonts w:eastAsia="Calibri"/>
          <w:i w:val="0"/>
          <w:iCs w:val="0"/>
          <w:noProof/>
          <w:color w:val="auto"/>
          <w:sz w:val="24"/>
          <w:szCs w:val="24"/>
        </w:rPr>
        <w:t>3</w:t>
      </w:r>
      <w:r w:rsidRPr="00E761A3">
        <w:rPr>
          <w:rFonts w:eastAsia="Calibri"/>
          <w:i w:val="0"/>
          <w:iCs w:val="0"/>
          <w:color w:val="auto"/>
          <w:sz w:val="24"/>
          <w:szCs w:val="24"/>
        </w:rPr>
        <w:fldChar w:fldCharType="end"/>
      </w:r>
      <w:bookmarkEnd w:id="73"/>
      <w:r w:rsidRPr="00E761A3">
        <w:rPr>
          <w:rFonts w:eastAsia="Calibri"/>
          <w:i w:val="0"/>
          <w:iCs w:val="0"/>
          <w:color w:val="auto"/>
          <w:sz w:val="24"/>
          <w:szCs w:val="24"/>
        </w:rPr>
        <w:t>: Epidemic Curve of Measles Cases by Month of Onset, Malawi, April 2023 to December 2024</w:t>
      </w:r>
      <w:bookmarkEnd w:id="74"/>
    </w:p>
    <w:p w14:paraId="2D4C9BC9" w14:textId="5FE191F6" w:rsid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Monthly testing volumes and IgM-positive counts remained relatively low and stable through most of 2023 and the first half of 2024, with positive cases ranging between roughly 12 and 48 per month. A marked rise began around August 2024, and testing and positivity both peaked in November 2024, when 216 cases were tested and 132 were confirmed IgM positive, the highest monthly totals recorded across the entire 21-month period. Case numbers fell sharply in December 2024, the final month of the study period.</w:t>
      </w:r>
    </w:p>
    <w:p w14:paraId="45D87FE7" w14:textId="77777777" w:rsidR="00F60581" w:rsidRPr="001A2889" w:rsidRDefault="00F60581" w:rsidP="0038502B">
      <w:pPr>
        <w:spacing w:line="480" w:lineRule="auto"/>
        <w:rPr>
          <w:rFonts w:ascii="Times New Roman" w:hAnsi="Times New Roman" w:cs="Times New Roman"/>
          <w:sz w:val="24"/>
          <w:szCs w:val="24"/>
        </w:rPr>
      </w:pPr>
    </w:p>
    <w:p w14:paraId="6F013B6B" w14:textId="22F43EDD" w:rsidR="001A2889" w:rsidRPr="001A2889" w:rsidRDefault="001A2889" w:rsidP="00F60581">
      <w:pPr>
        <w:pStyle w:val="Heading2"/>
      </w:pPr>
      <w:bookmarkStart w:id="75" w:name="_Toc232844543"/>
      <w:bookmarkStart w:id="76" w:name="_Toc232850328"/>
      <w:r w:rsidRPr="001A2889">
        <w:t>Factors Associated with Measles IgM Positivity</w:t>
      </w:r>
      <w:bookmarkEnd w:id="75"/>
      <w:bookmarkEnd w:id="76"/>
    </w:p>
    <w:p w14:paraId="1D516A10" w14:textId="422ECE9D" w:rsidR="001A2889" w:rsidRP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The second objective of the study was to identify factors associated with measles IgM positivity. Bivariate analysis using Pearson</w:t>
      </w:r>
      <w:r w:rsidR="0038502B">
        <w:rPr>
          <w:rFonts w:ascii="Times New Roman" w:hAnsi="Times New Roman" w:cs="Times New Roman"/>
          <w:sz w:val="24"/>
          <w:szCs w:val="24"/>
        </w:rPr>
        <w:t>’</w:t>
      </w:r>
      <w:r w:rsidRPr="001A2889">
        <w:rPr>
          <w:rFonts w:ascii="Times New Roman" w:hAnsi="Times New Roman" w:cs="Times New Roman"/>
          <w:sz w:val="24"/>
          <w:szCs w:val="24"/>
        </w:rPr>
        <w:t>s chi-squared and Fisher</w:t>
      </w:r>
      <w:r w:rsidR="0038502B">
        <w:rPr>
          <w:rFonts w:ascii="Times New Roman" w:hAnsi="Times New Roman" w:cs="Times New Roman"/>
          <w:sz w:val="24"/>
          <w:szCs w:val="24"/>
        </w:rPr>
        <w:t>’</w:t>
      </w:r>
      <w:r w:rsidRPr="001A2889">
        <w:rPr>
          <w:rFonts w:ascii="Times New Roman" w:hAnsi="Times New Roman" w:cs="Times New Roman"/>
          <w:sz w:val="24"/>
          <w:szCs w:val="24"/>
        </w:rPr>
        <w:t xml:space="preserve">s exact tests was first conducted to assess the association between sex, age group, region, and IgM result. </w:t>
      </w:r>
      <w:r w:rsidR="00F60581">
        <w:rPr>
          <w:rFonts w:ascii="Times New Roman" w:hAnsi="Times New Roman" w:cs="Times New Roman"/>
          <w:sz w:val="24"/>
          <w:szCs w:val="24"/>
        </w:rPr>
        <w:fldChar w:fldCharType="begin"/>
      </w:r>
      <w:r w:rsidR="00F60581">
        <w:rPr>
          <w:rFonts w:ascii="Times New Roman" w:hAnsi="Times New Roman" w:cs="Times New Roman"/>
          <w:sz w:val="24"/>
          <w:szCs w:val="24"/>
        </w:rPr>
        <w:instrText xml:space="preserve"> REF _Ref232836169 \h  \* MERGEFORMAT </w:instrText>
      </w:r>
      <w:r w:rsidR="00F60581">
        <w:rPr>
          <w:rFonts w:ascii="Times New Roman" w:hAnsi="Times New Roman" w:cs="Times New Roman"/>
          <w:sz w:val="24"/>
          <w:szCs w:val="24"/>
        </w:rPr>
      </w:r>
      <w:r w:rsidR="00F60581">
        <w:rPr>
          <w:rFonts w:ascii="Times New Roman" w:hAnsi="Times New Roman" w:cs="Times New Roman"/>
          <w:sz w:val="24"/>
          <w:szCs w:val="24"/>
        </w:rPr>
        <w:fldChar w:fldCharType="separate"/>
      </w:r>
      <w:r w:rsidR="00F60581" w:rsidRPr="00F60581">
        <w:rPr>
          <w:rFonts w:ascii="Times New Roman" w:hAnsi="Times New Roman" w:cs="Times New Roman"/>
          <w:sz w:val="24"/>
          <w:szCs w:val="24"/>
        </w:rPr>
        <w:t>Table 2</w:t>
      </w:r>
      <w:r w:rsidR="00F60581">
        <w:rPr>
          <w:rFonts w:ascii="Times New Roman" w:hAnsi="Times New Roman" w:cs="Times New Roman"/>
          <w:sz w:val="24"/>
          <w:szCs w:val="24"/>
        </w:rPr>
        <w:fldChar w:fldCharType="end"/>
      </w:r>
      <w:r w:rsidRPr="001A2889">
        <w:rPr>
          <w:rFonts w:ascii="Times New Roman" w:hAnsi="Times New Roman" w:cs="Times New Roman"/>
          <w:sz w:val="24"/>
          <w:szCs w:val="24"/>
        </w:rPr>
        <w:t xml:space="preserve"> presents the bivariate analysis.</w:t>
      </w:r>
    </w:p>
    <w:p w14:paraId="575EBAC2" w14:textId="0D64B842" w:rsidR="001A2889" w:rsidRPr="00F60581" w:rsidRDefault="00F60581" w:rsidP="00F60581">
      <w:pPr>
        <w:pStyle w:val="Caption"/>
        <w:rPr>
          <w:rFonts w:eastAsia="Calibri"/>
          <w:i w:val="0"/>
          <w:iCs w:val="0"/>
          <w:color w:val="auto"/>
          <w:sz w:val="24"/>
          <w:szCs w:val="24"/>
        </w:rPr>
      </w:pPr>
      <w:bookmarkStart w:id="77" w:name="_Ref232836169"/>
      <w:bookmarkStart w:id="78" w:name="_Toc232849023"/>
      <w:r w:rsidRPr="00F60581">
        <w:rPr>
          <w:rFonts w:eastAsia="Calibri"/>
          <w:i w:val="0"/>
          <w:iCs w:val="0"/>
          <w:color w:val="auto"/>
          <w:sz w:val="24"/>
          <w:szCs w:val="24"/>
        </w:rPr>
        <w:lastRenderedPageBreak/>
        <w:t xml:space="preserve">Table </w:t>
      </w:r>
      <w:r w:rsidRPr="00F60581">
        <w:rPr>
          <w:rFonts w:eastAsia="Calibri"/>
          <w:i w:val="0"/>
          <w:iCs w:val="0"/>
          <w:color w:val="auto"/>
          <w:sz w:val="24"/>
          <w:szCs w:val="24"/>
        </w:rPr>
        <w:fldChar w:fldCharType="begin"/>
      </w:r>
      <w:r w:rsidRPr="00F60581">
        <w:rPr>
          <w:rFonts w:eastAsia="Calibri"/>
          <w:i w:val="0"/>
          <w:iCs w:val="0"/>
          <w:color w:val="auto"/>
          <w:sz w:val="24"/>
          <w:szCs w:val="24"/>
        </w:rPr>
        <w:instrText xml:space="preserve"> SEQ Table \* ARABIC </w:instrText>
      </w:r>
      <w:r w:rsidRPr="00F60581">
        <w:rPr>
          <w:rFonts w:eastAsia="Calibri"/>
          <w:i w:val="0"/>
          <w:iCs w:val="0"/>
          <w:color w:val="auto"/>
          <w:sz w:val="24"/>
          <w:szCs w:val="24"/>
        </w:rPr>
        <w:fldChar w:fldCharType="separate"/>
      </w:r>
      <w:r w:rsidR="008978E2">
        <w:rPr>
          <w:rFonts w:eastAsia="Calibri"/>
          <w:i w:val="0"/>
          <w:iCs w:val="0"/>
          <w:noProof/>
          <w:color w:val="auto"/>
          <w:sz w:val="24"/>
          <w:szCs w:val="24"/>
        </w:rPr>
        <w:t>2</w:t>
      </w:r>
      <w:r w:rsidRPr="00F60581">
        <w:rPr>
          <w:rFonts w:eastAsia="Calibri"/>
          <w:i w:val="0"/>
          <w:iCs w:val="0"/>
          <w:color w:val="auto"/>
          <w:sz w:val="24"/>
          <w:szCs w:val="24"/>
        </w:rPr>
        <w:fldChar w:fldCharType="end"/>
      </w:r>
      <w:bookmarkEnd w:id="77"/>
      <w:r w:rsidRPr="00F60581">
        <w:rPr>
          <w:rFonts w:eastAsia="Calibri"/>
          <w:i w:val="0"/>
          <w:iCs w:val="0"/>
          <w:color w:val="auto"/>
          <w:sz w:val="24"/>
          <w:szCs w:val="24"/>
        </w:rPr>
        <w:t>:</w:t>
      </w:r>
      <w:r w:rsidR="008978E2">
        <w:rPr>
          <w:rFonts w:eastAsia="Calibri"/>
          <w:i w:val="0"/>
          <w:iCs w:val="0"/>
          <w:color w:val="auto"/>
          <w:sz w:val="24"/>
          <w:szCs w:val="24"/>
        </w:rPr>
        <w:t xml:space="preserve"> </w:t>
      </w:r>
      <w:r w:rsidRPr="00F60581">
        <w:rPr>
          <w:rFonts w:eastAsia="Calibri"/>
          <w:i w:val="0"/>
          <w:iCs w:val="0"/>
          <w:color w:val="auto"/>
          <w:sz w:val="24"/>
          <w:szCs w:val="24"/>
        </w:rPr>
        <w:t>Bivariate Analysis of Factors Associated with Measles IgM Positivity, Malawi, April 2023–December 2024</w:t>
      </w:r>
      <w:bookmarkEnd w:id="7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60"/>
        <w:gridCol w:w="1300"/>
        <w:gridCol w:w="1300"/>
        <w:gridCol w:w="1300"/>
        <w:gridCol w:w="1300"/>
        <w:gridCol w:w="1100"/>
      </w:tblGrid>
      <w:tr w:rsidR="001A2889" w:rsidRPr="001A2889" w14:paraId="580DE0AE" w14:textId="77777777">
        <w:tc>
          <w:tcPr>
            <w:tcW w:w="3060" w:type="dxa"/>
            <w:tcBorders>
              <w:top w:val="single" w:sz="8" w:space="0" w:color="000000"/>
              <w:left w:val="nil"/>
              <w:bottom w:val="nil"/>
              <w:right w:val="nil"/>
            </w:tcBorders>
            <w:tcMar>
              <w:top w:w="60" w:type="dxa"/>
              <w:left w:w="100" w:type="dxa"/>
              <w:bottom w:w="60" w:type="dxa"/>
              <w:right w:w="100" w:type="dxa"/>
            </w:tcMar>
          </w:tcPr>
          <w:p w14:paraId="682F813C" w14:textId="77777777" w:rsidR="001A2889" w:rsidRPr="001A2889" w:rsidRDefault="001A2889" w:rsidP="001A2889">
            <w:pPr>
              <w:rPr>
                <w:rFonts w:ascii="Times New Roman" w:hAnsi="Times New Roman" w:cs="Times New Roman"/>
                <w:sz w:val="24"/>
                <w:szCs w:val="24"/>
              </w:rPr>
            </w:pPr>
          </w:p>
        </w:tc>
        <w:tc>
          <w:tcPr>
            <w:tcW w:w="2600" w:type="dxa"/>
            <w:gridSpan w:val="2"/>
            <w:tcBorders>
              <w:top w:val="single" w:sz="8" w:space="0" w:color="000000"/>
              <w:left w:val="nil"/>
              <w:bottom w:val="single" w:sz="4" w:space="0" w:color="000000"/>
              <w:right w:val="nil"/>
            </w:tcBorders>
            <w:tcMar>
              <w:top w:w="60" w:type="dxa"/>
              <w:left w:w="100" w:type="dxa"/>
              <w:bottom w:w="0" w:type="dxa"/>
              <w:right w:w="100" w:type="dxa"/>
            </w:tcMar>
            <w:hideMark/>
          </w:tcPr>
          <w:p w14:paraId="017DD60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Negative (n = 356)</w:t>
            </w:r>
          </w:p>
        </w:tc>
        <w:tc>
          <w:tcPr>
            <w:tcW w:w="2600" w:type="dxa"/>
            <w:gridSpan w:val="2"/>
            <w:tcBorders>
              <w:top w:val="single" w:sz="8" w:space="0" w:color="000000"/>
              <w:left w:val="nil"/>
              <w:bottom w:val="single" w:sz="4" w:space="0" w:color="000000"/>
              <w:right w:val="nil"/>
            </w:tcBorders>
            <w:tcMar>
              <w:top w:w="60" w:type="dxa"/>
              <w:left w:w="100" w:type="dxa"/>
              <w:bottom w:w="0" w:type="dxa"/>
              <w:right w:w="100" w:type="dxa"/>
            </w:tcMar>
            <w:hideMark/>
          </w:tcPr>
          <w:p w14:paraId="5389A93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Positive (n = 835)</w:t>
            </w:r>
          </w:p>
        </w:tc>
        <w:tc>
          <w:tcPr>
            <w:tcW w:w="1100" w:type="dxa"/>
            <w:tcBorders>
              <w:top w:val="single" w:sz="8" w:space="0" w:color="000000"/>
              <w:left w:val="nil"/>
              <w:bottom w:val="nil"/>
              <w:right w:val="nil"/>
            </w:tcBorders>
            <w:tcMar>
              <w:top w:w="60" w:type="dxa"/>
              <w:left w:w="100" w:type="dxa"/>
              <w:bottom w:w="60" w:type="dxa"/>
              <w:right w:w="100" w:type="dxa"/>
            </w:tcMar>
          </w:tcPr>
          <w:p w14:paraId="632D3317" w14:textId="77777777" w:rsidR="001A2889" w:rsidRPr="001A2889" w:rsidRDefault="001A2889" w:rsidP="001A2889">
            <w:pPr>
              <w:rPr>
                <w:rFonts w:ascii="Times New Roman" w:hAnsi="Times New Roman" w:cs="Times New Roman"/>
                <w:sz w:val="24"/>
                <w:szCs w:val="24"/>
              </w:rPr>
            </w:pPr>
          </w:p>
        </w:tc>
      </w:tr>
      <w:tr w:rsidR="001A2889" w:rsidRPr="001A2889" w14:paraId="394A4468" w14:textId="77777777">
        <w:tc>
          <w:tcPr>
            <w:tcW w:w="3060" w:type="dxa"/>
            <w:tcBorders>
              <w:top w:val="nil"/>
              <w:left w:val="nil"/>
              <w:bottom w:val="single" w:sz="4" w:space="0" w:color="000000"/>
              <w:right w:val="nil"/>
            </w:tcBorders>
            <w:tcMar>
              <w:top w:w="60" w:type="dxa"/>
              <w:left w:w="100" w:type="dxa"/>
              <w:bottom w:w="60" w:type="dxa"/>
              <w:right w:w="100" w:type="dxa"/>
            </w:tcMar>
            <w:vAlign w:val="center"/>
            <w:hideMark/>
          </w:tcPr>
          <w:p w14:paraId="27715F8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Characteristic</w:t>
            </w:r>
          </w:p>
        </w:tc>
        <w:tc>
          <w:tcPr>
            <w:tcW w:w="1300" w:type="dxa"/>
            <w:tcBorders>
              <w:top w:val="nil"/>
              <w:left w:val="nil"/>
              <w:bottom w:val="single" w:sz="4" w:space="0" w:color="000000"/>
              <w:right w:val="nil"/>
            </w:tcBorders>
            <w:tcMar>
              <w:top w:w="60" w:type="dxa"/>
              <w:left w:w="100" w:type="dxa"/>
              <w:bottom w:w="60" w:type="dxa"/>
              <w:right w:w="100" w:type="dxa"/>
            </w:tcMar>
            <w:vAlign w:val="center"/>
            <w:hideMark/>
          </w:tcPr>
          <w:p w14:paraId="436BBD7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N</w:t>
            </w:r>
          </w:p>
        </w:tc>
        <w:tc>
          <w:tcPr>
            <w:tcW w:w="1300" w:type="dxa"/>
            <w:tcBorders>
              <w:top w:val="nil"/>
              <w:left w:val="nil"/>
              <w:bottom w:val="single" w:sz="4" w:space="0" w:color="000000"/>
              <w:right w:val="nil"/>
            </w:tcBorders>
            <w:tcMar>
              <w:top w:w="60" w:type="dxa"/>
              <w:left w:w="100" w:type="dxa"/>
              <w:bottom w:w="60" w:type="dxa"/>
              <w:right w:w="100" w:type="dxa"/>
            </w:tcMar>
            <w:vAlign w:val="center"/>
            <w:hideMark/>
          </w:tcPr>
          <w:p w14:paraId="174FD01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w:t>
            </w:r>
          </w:p>
        </w:tc>
        <w:tc>
          <w:tcPr>
            <w:tcW w:w="1300" w:type="dxa"/>
            <w:tcBorders>
              <w:top w:val="nil"/>
              <w:left w:val="nil"/>
              <w:bottom w:val="single" w:sz="4" w:space="0" w:color="000000"/>
              <w:right w:val="nil"/>
            </w:tcBorders>
            <w:tcMar>
              <w:top w:w="60" w:type="dxa"/>
              <w:left w:w="100" w:type="dxa"/>
              <w:bottom w:w="60" w:type="dxa"/>
              <w:right w:w="100" w:type="dxa"/>
            </w:tcMar>
            <w:vAlign w:val="center"/>
            <w:hideMark/>
          </w:tcPr>
          <w:p w14:paraId="6BEE46EF" w14:textId="420030C6" w:rsidR="001A2889" w:rsidRPr="001A2889" w:rsidRDefault="00254505" w:rsidP="001A2889">
            <w:pPr>
              <w:rPr>
                <w:rFonts w:ascii="Times New Roman" w:hAnsi="Times New Roman" w:cs="Times New Roman"/>
                <w:sz w:val="24"/>
                <w:szCs w:val="24"/>
              </w:rPr>
            </w:pPr>
            <w:r w:rsidRPr="001A2889">
              <w:rPr>
                <w:rFonts w:ascii="Times New Roman" w:hAnsi="Times New Roman" w:cs="Times New Roman"/>
                <w:b/>
                <w:bCs/>
                <w:sz w:val="24"/>
                <w:szCs w:val="24"/>
              </w:rPr>
              <w:t>N</w:t>
            </w:r>
          </w:p>
        </w:tc>
        <w:tc>
          <w:tcPr>
            <w:tcW w:w="1300" w:type="dxa"/>
            <w:tcBorders>
              <w:top w:val="nil"/>
              <w:left w:val="nil"/>
              <w:bottom w:val="single" w:sz="4" w:space="0" w:color="000000"/>
              <w:right w:val="nil"/>
            </w:tcBorders>
            <w:tcMar>
              <w:top w:w="60" w:type="dxa"/>
              <w:left w:w="100" w:type="dxa"/>
              <w:bottom w:w="60" w:type="dxa"/>
              <w:right w:w="100" w:type="dxa"/>
            </w:tcMar>
            <w:vAlign w:val="center"/>
            <w:hideMark/>
          </w:tcPr>
          <w:p w14:paraId="2F243D7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w:t>
            </w:r>
          </w:p>
        </w:tc>
        <w:tc>
          <w:tcPr>
            <w:tcW w:w="1100" w:type="dxa"/>
            <w:tcBorders>
              <w:top w:val="nil"/>
              <w:left w:val="nil"/>
              <w:bottom w:val="single" w:sz="4" w:space="0" w:color="000000"/>
              <w:right w:val="nil"/>
            </w:tcBorders>
            <w:tcMar>
              <w:top w:w="60" w:type="dxa"/>
              <w:left w:w="100" w:type="dxa"/>
              <w:bottom w:w="60" w:type="dxa"/>
              <w:right w:w="100" w:type="dxa"/>
            </w:tcMar>
            <w:vAlign w:val="center"/>
            <w:hideMark/>
          </w:tcPr>
          <w:p w14:paraId="1C566415" w14:textId="2DDFE4E8" w:rsidR="001A2889" w:rsidRPr="001A2889" w:rsidRDefault="008F4B71" w:rsidP="001A2889">
            <w:pPr>
              <w:rPr>
                <w:rFonts w:ascii="Times New Roman" w:hAnsi="Times New Roman" w:cs="Times New Roman"/>
                <w:sz w:val="24"/>
                <w:szCs w:val="24"/>
              </w:rPr>
            </w:pPr>
            <w:r w:rsidRPr="001A2889">
              <w:rPr>
                <w:rFonts w:ascii="Times New Roman" w:hAnsi="Times New Roman" w:cs="Times New Roman"/>
                <w:b/>
                <w:bCs/>
                <w:i/>
                <w:iCs/>
                <w:sz w:val="24"/>
                <w:szCs w:val="24"/>
              </w:rPr>
              <w:t>P</w:t>
            </w:r>
          </w:p>
        </w:tc>
      </w:tr>
      <w:tr w:rsidR="001A2889" w:rsidRPr="001A2889" w14:paraId="017C48B6" w14:textId="77777777">
        <w:tc>
          <w:tcPr>
            <w:tcW w:w="3060" w:type="dxa"/>
            <w:tcBorders>
              <w:top w:val="nil"/>
              <w:left w:val="nil"/>
              <w:bottom w:val="nil"/>
              <w:right w:val="nil"/>
            </w:tcBorders>
            <w:tcMar>
              <w:top w:w="60" w:type="dxa"/>
              <w:left w:w="100" w:type="dxa"/>
              <w:bottom w:w="60" w:type="dxa"/>
              <w:right w:w="100" w:type="dxa"/>
            </w:tcMar>
            <w:vAlign w:val="center"/>
            <w:hideMark/>
          </w:tcPr>
          <w:p w14:paraId="712F2E4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Sex</w:t>
            </w:r>
          </w:p>
        </w:tc>
        <w:tc>
          <w:tcPr>
            <w:tcW w:w="1300" w:type="dxa"/>
            <w:tcBorders>
              <w:top w:val="nil"/>
              <w:left w:val="nil"/>
              <w:bottom w:val="nil"/>
              <w:right w:val="nil"/>
            </w:tcBorders>
            <w:tcMar>
              <w:top w:w="60" w:type="dxa"/>
              <w:left w:w="100" w:type="dxa"/>
              <w:bottom w:w="60" w:type="dxa"/>
              <w:right w:w="100" w:type="dxa"/>
            </w:tcMar>
            <w:vAlign w:val="center"/>
          </w:tcPr>
          <w:p w14:paraId="3A0E8A12" w14:textId="77777777" w:rsidR="001A2889" w:rsidRPr="001A2889" w:rsidRDefault="001A2889" w:rsidP="001A2889">
            <w:pPr>
              <w:rPr>
                <w:rFonts w:ascii="Times New Roman" w:hAnsi="Times New Roman" w:cs="Times New Roman"/>
                <w:sz w:val="24"/>
                <w:szCs w:val="24"/>
              </w:rPr>
            </w:pPr>
          </w:p>
        </w:tc>
        <w:tc>
          <w:tcPr>
            <w:tcW w:w="1300" w:type="dxa"/>
            <w:tcBorders>
              <w:top w:val="nil"/>
              <w:left w:val="nil"/>
              <w:bottom w:val="nil"/>
              <w:right w:val="nil"/>
            </w:tcBorders>
            <w:tcMar>
              <w:top w:w="60" w:type="dxa"/>
              <w:left w:w="100" w:type="dxa"/>
              <w:bottom w:w="60" w:type="dxa"/>
              <w:right w:w="100" w:type="dxa"/>
            </w:tcMar>
            <w:vAlign w:val="center"/>
          </w:tcPr>
          <w:p w14:paraId="5AD3A430" w14:textId="77777777" w:rsidR="001A2889" w:rsidRPr="001A2889" w:rsidRDefault="001A2889" w:rsidP="001A2889">
            <w:pPr>
              <w:rPr>
                <w:rFonts w:ascii="Times New Roman" w:hAnsi="Times New Roman" w:cs="Times New Roman"/>
                <w:sz w:val="24"/>
                <w:szCs w:val="24"/>
              </w:rPr>
            </w:pPr>
          </w:p>
        </w:tc>
        <w:tc>
          <w:tcPr>
            <w:tcW w:w="1300" w:type="dxa"/>
            <w:tcBorders>
              <w:top w:val="nil"/>
              <w:left w:val="nil"/>
              <w:bottom w:val="nil"/>
              <w:right w:val="nil"/>
            </w:tcBorders>
            <w:tcMar>
              <w:top w:w="60" w:type="dxa"/>
              <w:left w:w="100" w:type="dxa"/>
              <w:bottom w:w="60" w:type="dxa"/>
              <w:right w:w="100" w:type="dxa"/>
            </w:tcMar>
            <w:vAlign w:val="center"/>
          </w:tcPr>
          <w:p w14:paraId="044EA281" w14:textId="77777777" w:rsidR="001A2889" w:rsidRPr="001A2889" w:rsidRDefault="001A2889" w:rsidP="001A2889">
            <w:pPr>
              <w:rPr>
                <w:rFonts w:ascii="Times New Roman" w:hAnsi="Times New Roman" w:cs="Times New Roman"/>
                <w:sz w:val="24"/>
                <w:szCs w:val="24"/>
              </w:rPr>
            </w:pPr>
          </w:p>
        </w:tc>
        <w:tc>
          <w:tcPr>
            <w:tcW w:w="1300" w:type="dxa"/>
            <w:tcBorders>
              <w:top w:val="nil"/>
              <w:left w:val="nil"/>
              <w:bottom w:val="nil"/>
              <w:right w:val="nil"/>
            </w:tcBorders>
            <w:tcMar>
              <w:top w:w="60" w:type="dxa"/>
              <w:left w:w="100" w:type="dxa"/>
              <w:bottom w:w="60" w:type="dxa"/>
              <w:right w:w="100" w:type="dxa"/>
            </w:tcMar>
            <w:vAlign w:val="center"/>
          </w:tcPr>
          <w:p w14:paraId="57BCD2E7" w14:textId="77777777" w:rsidR="001A2889" w:rsidRPr="001A2889" w:rsidRDefault="001A2889" w:rsidP="001A2889">
            <w:pPr>
              <w:rPr>
                <w:rFonts w:ascii="Times New Roman" w:hAnsi="Times New Roman" w:cs="Times New Roman"/>
                <w:sz w:val="24"/>
                <w:szCs w:val="24"/>
              </w:rPr>
            </w:pPr>
          </w:p>
        </w:tc>
        <w:tc>
          <w:tcPr>
            <w:tcW w:w="1100" w:type="dxa"/>
            <w:tcBorders>
              <w:top w:val="nil"/>
              <w:left w:val="nil"/>
              <w:bottom w:val="nil"/>
              <w:right w:val="nil"/>
            </w:tcBorders>
            <w:tcMar>
              <w:top w:w="60" w:type="dxa"/>
              <w:left w:w="100" w:type="dxa"/>
              <w:bottom w:w="60" w:type="dxa"/>
              <w:right w:w="100" w:type="dxa"/>
            </w:tcMar>
            <w:vAlign w:val="center"/>
            <w:hideMark/>
          </w:tcPr>
          <w:p w14:paraId="01F3CFE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0.002</w:t>
            </w:r>
          </w:p>
        </w:tc>
      </w:tr>
      <w:tr w:rsidR="001A2889" w:rsidRPr="001A2889" w14:paraId="69C7BE00" w14:textId="77777777">
        <w:tc>
          <w:tcPr>
            <w:tcW w:w="3060" w:type="dxa"/>
            <w:tcBorders>
              <w:top w:val="nil"/>
              <w:left w:val="nil"/>
              <w:bottom w:val="nil"/>
              <w:right w:val="nil"/>
            </w:tcBorders>
            <w:tcMar>
              <w:top w:w="60" w:type="dxa"/>
              <w:left w:w="100" w:type="dxa"/>
              <w:bottom w:w="60" w:type="dxa"/>
              <w:right w:w="100" w:type="dxa"/>
            </w:tcMar>
            <w:vAlign w:val="center"/>
            <w:hideMark/>
          </w:tcPr>
          <w:p w14:paraId="17FE158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Female</w:t>
            </w:r>
          </w:p>
        </w:tc>
        <w:tc>
          <w:tcPr>
            <w:tcW w:w="1300" w:type="dxa"/>
            <w:tcBorders>
              <w:top w:val="nil"/>
              <w:left w:val="nil"/>
              <w:bottom w:val="nil"/>
              <w:right w:val="nil"/>
            </w:tcBorders>
            <w:tcMar>
              <w:top w:w="60" w:type="dxa"/>
              <w:left w:w="100" w:type="dxa"/>
              <w:bottom w:w="60" w:type="dxa"/>
              <w:right w:w="100" w:type="dxa"/>
            </w:tcMar>
            <w:vAlign w:val="center"/>
            <w:hideMark/>
          </w:tcPr>
          <w:p w14:paraId="098CE1B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160</w:t>
            </w:r>
          </w:p>
        </w:tc>
        <w:tc>
          <w:tcPr>
            <w:tcW w:w="1300" w:type="dxa"/>
            <w:tcBorders>
              <w:top w:val="nil"/>
              <w:left w:val="nil"/>
              <w:bottom w:val="nil"/>
              <w:right w:val="nil"/>
            </w:tcBorders>
            <w:tcMar>
              <w:top w:w="60" w:type="dxa"/>
              <w:left w:w="100" w:type="dxa"/>
              <w:bottom w:w="60" w:type="dxa"/>
              <w:right w:w="100" w:type="dxa"/>
            </w:tcMar>
            <w:vAlign w:val="center"/>
            <w:hideMark/>
          </w:tcPr>
          <w:p w14:paraId="7CBBCBA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52%</w:t>
            </w:r>
          </w:p>
        </w:tc>
        <w:tc>
          <w:tcPr>
            <w:tcW w:w="1300" w:type="dxa"/>
            <w:tcBorders>
              <w:top w:val="nil"/>
              <w:left w:val="nil"/>
              <w:bottom w:val="nil"/>
              <w:right w:val="nil"/>
            </w:tcBorders>
            <w:tcMar>
              <w:top w:w="60" w:type="dxa"/>
              <w:left w:w="100" w:type="dxa"/>
              <w:bottom w:w="60" w:type="dxa"/>
              <w:right w:w="100" w:type="dxa"/>
            </w:tcMar>
            <w:vAlign w:val="center"/>
            <w:hideMark/>
          </w:tcPr>
          <w:p w14:paraId="4B7FBA9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287</w:t>
            </w:r>
          </w:p>
        </w:tc>
        <w:tc>
          <w:tcPr>
            <w:tcW w:w="1300" w:type="dxa"/>
            <w:tcBorders>
              <w:top w:val="nil"/>
              <w:left w:val="nil"/>
              <w:bottom w:val="nil"/>
              <w:right w:val="nil"/>
            </w:tcBorders>
            <w:tcMar>
              <w:top w:w="60" w:type="dxa"/>
              <w:left w:w="100" w:type="dxa"/>
              <w:bottom w:w="60" w:type="dxa"/>
              <w:right w:w="100" w:type="dxa"/>
            </w:tcMar>
            <w:vAlign w:val="center"/>
            <w:hideMark/>
          </w:tcPr>
          <w:p w14:paraId="7E25C31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41%</w:t>
            </w:r>
          </w:p>
        </w:tc>
        <w:tc>
          <w:tcPr>
            <w:tcW w:w="1100" w:type="dxa"/>
            <w:tcBorders>
              <w:top w:val="nil"/>
              <w:left w:val="nil"/>
              <w:bottom w:val="nil"/>
              <w:right w:val="nil"/>
            </w:tcBorders>
            <w:tcMar>
              <w:top w:w="60" w:type="dxa"/>
              <w:left w:w="100" w:type="dxa"/>
              <w:bottom w:w="60" w:type="dxa"/>
              <w:right w:w="100" w:type="dxa"/>
            </w:tcMar>
            <w:vAlign w:val="center"/>
          </w:tcPr>
          <w:p w14:paraId="09BB1956" w14:textId="77777777" w:rsidR="001A2889" w:rsidRPr="001A2889" w:rsidRDefault="001A2889" w:rsidP="001A2889">
            <w:pPr>
              <w:rPr>
                <w:rFonts w:ascii="Times New Roman" w:hAnsi="Times New Roman" w:cs="Times New Roman"/>
                <w:sz w:val="24"/>
                <w:szCs w:val="24"/>
              </w:rPr>
            </w:pPr>
          </w:p>
        </w:tc>
      </w:tr>
      <w:tr w:rsidR="001A2889" w:rsidRPr="001A2889" w14:paraId="043FDCBE" w14:textId="77777777">
        <w:tc>
          <w:tcPr>
            <w:tcW w:w="3060" w:type="dxa"/>
            <w:tcBorders>
              <w:top w:val="nil"/>
              <w:left w:val="nil"/>
              <w:bottom w:val="nil"/>
              <w:right w:val="nil"/>
            </w:tcBorders>
            <w:tcMar>
              <w:top w:w="60" w:type="dxa"/>
              <w:left w:w="100" w:type="dxa"/>
              <w:bottom w:w="60" w:type="dxa"/>
              <w:right w:w="100" w:type="dxa"/>
            </w:tcMar>
            <w:vAlign w:val="center"/>
            <w:hideMark/>
          </w:tcPr>
          <w:p w14:paraId="2ED0E3F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Male</w:t>
            </w:r>
          </w:p>
        </w:tc>
        <w:tc>
          <w:tcPr>
            <w:tcW w:w="1300" w:type="dxa"/>
            <w:tcBorders>
              <w:top w:val="nil"/>
              <w:left w:val="nil"/>
              <w:bottom w:val="nil"/>
              <w:right w:val="nil"/>
            </w:tcBorders>
            <w:tcMar>
              <w:top w:w="60" w:type="dxa"/>
              <w:left w:w="100" w:type="dxa"/>
              <w:bottom w:w="60" w:type="dxa"/>
              <w:right w:w="100" w:type="dxa"/>
            </w:tcMar>
            <w:vAlign w:val="center"/>
            <w:hideMark/>
          </w:tcPr>
          <w:p w14:paraId="1EC625A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150</w:t>
            </w:r>
          </w:p>
        </w:tc>
        <w:tc>
          <w:tcPr>
            <w:tcW w:w="1300" w:type="dxa"/>
            <w:tcBorders>
              <w:top w:val="nil"/>
              <w:left w:val="nil"/>
              <w:bottom w:val="nil"/>
              <w:right w:val="nil"/>
            </w:tcBorders>
            <w:tcMar>
              <w:top w:w="60" w:type="dxa"/>
              <w:left w:w="100" w:type="dxa"/>
              <w:bottom w:w="60" w:type="dxa"/>
              <w:right w:w="100" w:type="dxa"/>
            </w:tcMar>
            <w:vAlign w:val="center"/>
            <w:hideMark/>
          </w:tcPr>
          <w:p w14:paraId="329FC7A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48%</w:t>
            </w:r>
          </w:p>
        </w:tc>
        <w:tc>
          <w:tcPr>
            <w:tcW w:w="1300" w:type="dxa"/>
            <w:tcBorders>
              <w:top w:val="nil"/>
              <w:left w:val="nil"/>
              <w:bottom w:val="nil"/>
              <w:right w:val="nil"/>
            </w:tcBorders>
            <w:tcMar>
              <w:top w:w="60" w:type="dxa"/>
              <w:left w:w="100" w:type="dxa"/>
              <w:bottom w:w="60" w:type="dxa"/>
              <w:right w:w="100" w:type="dxa"/>
            </w:tcMar>
            <w:vAlign w:val="center"/>
            <w:hideMark/>
          </w:tcPr>
          <w:p w14:paraId="36BBCDF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409</w:t>
            </w:r>
          </w:p>
        </w:tc>
        <w:tc>
          <w:tcPr>
            <w:tcW w:w="1300" w:type="dxa"/>
            <w:tcBorders>
              <w:top w:val="nil"/>
              <w:left w:val="nil"/>
              <w:bottom w:val="nil"/>
              <w:right w:val="nil"/>
            </w:tcBorders>
            <w:tcMar>
              <w:top w:w="60" w:type="dxa"/>
              <w:left w:w="100" w:type="dxa"/>
              <w:bottom w:w="60" w:type="dxa"/>
              <w:right w:w="100" w:type="dxa"/>
            </w:tcMar>
            <w:vAlign w:val="center"/>
            <w:hideMark/>
          </w:tcPr>
          <w:p w14:paraId="5DD8D38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59%</w:t>
            </w:r>
          </w:p>
        </w:tc>
        <w:tc>
          <w:tcPr>
            <w:tcW w:w="1100" w:type="dxa"/>
            <w:tcBorders>
              <w:top w:val="nil"/>
              <w:left w:val="nil"/>
              <w:bottom w:val="nil"/>
              <w:right w:val="nil"/>
            </w:tcBorders>
            <w:tcMar>
              <w:top w:w="60" w:type="dxa"/>
              <w:left w:w="100" w:type="dxa"/>
              <w:bottom w:w="60" w:type="dxa"/>
              <w:right w:w="100" w:type="dxa"/>
            </w:tcMar>
            <w:vAlign w:val="center"/>
          </w:tcPr>
          <w:p w14:paraId="623772E6" w14:textId="77777777" w:rsidR="001A2889" w:rsidRPr="001A2889" w:rsidRDefault="001A2889" w:rsidP="001A2889">
            <w:pPr>
              <w:rPr>
                <w:rFonts w:ascii="Times New Roman" w:hAnsi="Times New Roman" w:cs="Times New Roman"/>
                <w:sz w:val="24"/>
                <w:szCs w:val="24"/>
              </w:rPr>
            </w:pPr>
          </w:p>
        </w:tc>
      </w:tr>
      <w:tr w:rsidR="001A2889" w:rsidRPr="001A2889" w14:paraId="37BE4E9F" w14:textId="77777777">
        <w:tc>
          <w:tcPr>
            <w:tcW w:w="3060" w:type="dxa"/>
            <w:tcBorders>
              <w:top w:val="nil"/>
              <w:left w:val="nil"/>
              <w:bottom w:val="nil"/>
              <w:right w:val="nil"/>
            </w:tcBorders>
            <w:tcMar>
              <w:top w:w="60" w:type="dxa"/>
              <w:left w:w="100" w:type="dxa"/>
              <w:bottom w:w="60" w:type="dxa"/>
              <w:right w:w="100" w:type="dxa"/>
            </w:tcMar>
            <w:vAlign w:val="center"/>
            <w:hideMark/>
          </w:tcPr>
          <w:p w14:paraId="210409D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Age group</w:t>
            </w:r>
          </w:p>
        </w:tc>
        <w:tc>
          <w:tcPr>
            <w:tcW w:w="1300" w:type="dxa"/>
            <w:tcBorders>
              <w:top w:val="nil"/>
              <w:left w:val="nil"/>
              <w:bottom w:val="nil"/>
              <w:right w:val="nil"/>
            </w:tcBorders>
            <w:tcMar>
              <w:top w:w="60" w:type="dxa"/>
              <w:left w:w="100" w:type="dxa"/>
              <w:bottom w:w="60" w:type="dxa"/>
              <w:right w:w="100" w:type="dxa"/>
            </w:tcMar>
            <w:vAlign w:val="center"/>
          </w:tcPr>
          <w:p w14:paraId="32F95185" w14:textId="77777777" w:rsidR="001A2889" w:rsidRPr="001A2889" w:rsidRDefault="001A2889" w:rsidP="001A2889">
            <w:pPr>
              <w:rPr>
                <w:rFonts w:ascii="Times New Roman" w:hAnsi="Times New Roman" w:cs="Times New Roman"/>
                <w:sz w:val="24"/>
                <w:szCs w:val="24"/>
              </w:rPr>
            </w:pPr>
          </w:p>
        </w:tc>
        <w:tc>
          <w:tcPr>
            <w:tcW w:w="1300" w:type="dxa"/>
            <w:tcBorders>
              <w:top w:val="nil"/>
              <w:left w:val="nil"/>
              <w:bottom w:val="nil"/>
              <w:right w:val="nil"/>
            </w:tcBorders>
            <w:tcMar>
              <w:top w:w="60" w:type="dxa"/>
              <w:left w:w="100" w:type="dxa"/>
              <w:bottom w:w="60" w:type="dxa"/>
              <w:right w:w="100" w:type="dxa"/>
            </w:tcMar>
            <w:vAlign w:val="center"/>
          </w:tcPr>
          <w:p w14:paraId="21B936CE" w14:textId="77777777" w:rsidR="001A2889" w:rsidRPr="001A2889" w:rsidRDefault="001A2889" w:rsidP="001A2889">
            <w:pPr>
              <w:rPr>
                <w:rFonts w:ascii="Times New Roman" w:hAnsi="Times New Roman" w:cs="Times New Roman"/>
                <w:sz w:val="24"/>
                <w:szCs w:val="24"/>
              </w:rPr>
            </w:pPr>
          </w:p>
        </w:tc>
        <w:tc>
          <w:tcPr>
            <w:tcW w:w="1300" w:type="dxa"/>
            <w:tcBorders>
              <w:top w:val="nil"/>
              <w:left w:val="nil"/>
              <w:bottom w:val="nil"/>
              <w:right w:val="nil"/>
            </w:tcBorders>
            <w:tcMar>
              <w:top w:w="60" w:type="dxa"/>
              <w:left w:w="100" w:type="dxa"/>
              <w:bottom w:w="60" w:type="dxa"/>
              <w:right w:w="100" w:type="dxa"/>
            </w:tcMar>
            <w:vAlign w:val="center"/>
          </w:tcPr>
          <w:p w14:paraId="59784E5B" w14:textId="77777777" w:rsidR="001A2889" w:rsidRPr="001A2889" w:rsidRDefault="001A2889" w:rsidP="001A2889">
            <w:pPr>
              <w:rPr>
                <w:rFonts w:ascii="Times New Roman" w:hAnsi="Times New Roman" w:cs="Times New Roman"/>
                <w:sz w:val="24"/>
                <w:szCs w:val="24"/>
              </w:rPr>
            </w:pPr>
          </w:p>
        </w:tc>
        <w:tc>
          <w:tcPr>
            <w:tcW w:w="1300" w:type="dxa"/>
            <w:tcBorders>
              <w:top w:val="nil"/>
              <w:left w:val="nil"/>
              <w:bottom w:val="nil"/>
              <w:right w:val="nil"/>
            </w:tcBorders>
            <w:tcMar>
              <w:top w:w="60" w:type="dxa"/>
              <w:left w:w="100" w:type="dxa"/>
              <w:bottom w:w="60" w:type="dxa"/>
              <w:right w:w="100" w:type="dxa"/>
            </w:tcMar>
            <w:vAlign w:val="center"/>
          </w:tcPr>
          <w:p w14:paraId="7762EADF" w14:textId="77777777" w:rsidR="001A2889" w:rsidRPr="001A2889" w:rsidRDefault="001A2889" w:rsidP="001A2889">
            <w:pPr>
              <w:rPr>
                <w:rFonts w:ascii="Times New Roman" w:hAnsi="Times New Roman" w:cs="Times New Roman"/>
                <w:sz w:val="24"/>
                <w:szCs w:val="24"/>
              </w:rPr>
            </w:pPr>
          </w:p>
        </w:tc>
        <w:tc>
          <w:tcPr>
            <w:tcW w:w="1100" w:type="dxa"/>
            <w:tcBorders>
              <w:top w:val="nil"/>
              <w:left w:val="nil"/>
              <w:bottom w:val="nil"/>
              <w:right w:val="nil"/>
            </w:tcBorders>
            <w:tcMar>
              <w:top w:w="60" w:type="dxa"/>
              <w:left w:w="100" w:type="dxa"/>
              <w:bottom w:w="60" w:type="dxa"/>
              <w:right w:w="100" w:type="dxa"/>
            </w:tcMar>
            <w:vAlign w:val="center"/>
            <w:hideMark/>
          </w:tcPr>
          <w:p w14:paraId="28D969D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0.132</w:t>
            </w:r>
          </w:p>
        </w:tc>
      </w:tr>
      <w:tr w:rsidR="001A2889" w:rsidRPr="001A2889" w14:paraId="01D8D0F6" w14:textId="77777777">
        <w:tc>
          <w:tcPr>
            <w:tcW w:w="3060" w:type="dxa"/>
            <w:tcBorders>
              <w:top w:val="nil"/>
              <w:left w:val="nil"/>
              <w:bottom w:val="nil"/>
              <w:right w:val="nil"/>
            </w:tcBorders>
            <w:tcMar>
              <w:top w:w="60" w:type="dxa"/>
              <w:left w:w="100" w:type="dxa"/>
              <w:bottom w:w="60" w:type="dxa"/>
              <w:right w:w="100" w:type="dxa"/>
            </w:tcMar>
            <w:vAlign w:val="center"/>
            <w:hideMark/>
          </w:tcPr>
          <w:p w14:paraId="1ADB0AB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&lt;9 months</w:t>
            </w:r>
          </w:p>
        </w:tc>
        <w:tc>
          <w:tcPr>
            <w:tcW w:w="1300" w:type="dxa"/>
            <w:tcBorders>
              <w:top w:val="nil"/>
              <w:left w:val="nil"/>
              <w:bottom w:val="nil"/>
              <w:right w:val="nil"/>
            </w:tcBorders>
            <w:tcMar>
              <w:top w:w="60" w:type="dxa"/>
              <w:left w:w="100" w:type="dxa"/>
              <w:bottom w:w="60" w:type="dxa"/>
              <w:right w:w="100" w:type="dxa"/>
            </w:tcMar>
            <w:vAlign w:val="center"/>
            <w:hideMark/>
          </w:tcPr>
          <w:p w14:paraId="6037105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54</w:t>
            </w:r>
          </w:p>
        </w:tc>
        <w:tc>
          <w:tcPr>
            <w:tcW w:w="1300" w:type="dxa"/>
            <w:tcBorders>
              <w:top w:val="nil"/>
              <w:left w:val="nil"/>
              <w:bottom w:val="nil"/>
              <w:right w:val="nil"/>
            </w:tcBorders>
            <w:tcMar>
              <w:top w:w="60" w:type="dxa"/>
              <w:left w:w="100" w:type="dxa"/>
              <w:bottom w:w="60" w:type="dxa"/>
              <w:right w:w="100" w:type="dxa"/>
            </w:tcMar>
            <w:vAlign w:val="center"/>
            <w:hideMark/>
          </w:tcPr>
          <w:p w14:paraId="3B7A5E6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58%</w:t>
            </w:r>
          </w:p>
        </w:tc>
        <w:tc>
          <w:tcPr>
            <w:tcW w:w="1300" w:type="dxa"/>
            <w:tcBorders>
              <w:top w:val="nil"/>
              <w:left w:val="nil"/>
              <w:bottom w:val="nil"/>
              <w:right w:val="nil"/>
            </w:tcBorders>
            <w:tcMar>
              <w:top w:w="60" w:type="dxa"/>
              <w:left w:w="100" w:type="dxa"/>
              <w:bottom w:w="60" w:type="dxa"/>
              <w:right w:w="100" w:type="dxa"/>
            </w:tcMar>
            <w:vAlign w:val="center"/>
            <w:hideMark/>
          </w:tcPr>
          <w:p w14:paraId="608460D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77</w:t>
            </w:r>
          </w:p>
        </w:tc>
        <w:tc>
          <w:tcPr>
            <w:tcW w:w="1300" w:type="dxa"/>
            <w:tcBorders>
              <w:top w:val="nil"/>
              <w:left w:val="nil"/>
              <w:bottom w:val="nil"/>
              <w:right w:val="nil"/>
            </w:tcBorders>
            <w:tcMar>
              <w:top w:w="60" w:type="dxa"/>
              <w:left w:w="100" w:type="dxa"/>
              <w:bottom w:w="60" w:type="dxa"/>
              <w:right w:w="100" w:type="dxa"/>
            </w:tcMar>
            <w:vAlign w:val="center"/>
            <w:hideMark/>
          </w:tcPr>
          <w:p w14:paraId="5185217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49%</w:t>
            </w:r>
          </w:p>
        </w:tc>
        <w:tc>
          <w:tcPr>
            <w:tcW w:w="1100" w:type="dxa"/>
            <w:tcBorders>
              <w:top w:val="nil"/>
              <w:left w:val="nil"/>
              <w:bottom w:val="nil"/>
              <w:right w:val="nil"/>
            </w:tcBorders>
            <w:tcMar>
              <w:top w:w="60" w:type="dxa"/>
              <w:left w:w="100" w:type="dxa"/>
              <w:bottom w:w="60" w:type="dxa"/>
              <w:right w:w="100" w:type="dxa"/>
            </w:tcMar>
            <w:vAlign w:val="center"/>
          </w:tcPr>
          <w:p w14:paraId="7B6236AF" w14:textId="77777777" w:rsidR="001A2889" w:rsidRPr="001A2889" w:rsidRDefault="001A2889" w:rsidP="001A2889">
            <w:pPr>
              <w:rPr>
                <w:rFonts w:ascii="Times New Roman" w:hAnsi="Times New Roman" w:cs="Times New Roman"/>
                <w:sz w:val="24"/>
                <w:szCs w:val="24"/>
              </w:rPr>
            </w:pPr>
          </w:p>
        </w:tc>
      </w:tr>
      <w:tr w:rsidR="001A2889" w:rsidRPr="001A2889" w14:paraId="78C0EF86" w14:textId="77777777">
        <w:tc>
          <w:tcPr>
            <w:tcW w:w="3060" w:type="dxa"/>
            <w:tcBorders>
              <w:top w:val="nil"/>
              <w:left w:val="nil"/>
              <w:bottom w:val="nil"/>
              <w:right w:val="nil"/>
            </w:tcBorders>
            <w:tcMar>
              <w:top w:w="60" w:type="dxa"/>
              <w:left w:w="100" w:type="dxa"/>
              <w:bottom w:w="60" w:type="dxa"/>
              <w:right w:w="100" w:type="dxa"/>
            </w:tcMar>
            <w:vAlign w:val="center"/>
            <w:hideMark/>
          </w:tcPr>
          <w:p w14:paraId="75D52AB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9–23 months</w:t>
            </w:r>
          </w:p>
        </w:tc>
        <w:tc>
          <w:tcPr>
            <w:tcW w:w="1300" w:type="dxa"/>
            <w:tcBorders>
              <w:top w:val="nil"/>
              <w:left w:val="nil"/>
              <w:bottom w:val="nil"/>
              <w:right w:val="nil"/>
            </w:tcBorders>
            <w:tcMar>
              <w:top w:w="60" w:type="dxa"/>
              <w:left w:w="100" w:type="dxa"/>
              <w:bottom w:w="60" w:type="dxa"/>
              <w:right w:w="100" w:type="dxa"/>
            </w:tcMar>
            <w:vAlign w:val="center"/>
            <w:hideMark/>
          </w:tcPr>
          <w:p w14:paraId="0DD53F1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w:t>
            </w:r>
          </w:p>
        </w:tc>
        <w:tc>
          <w:tcPr>
            <w:tcW w:w="1300" w:type="dxa"/>
            <w:tcBorders>
              <w:top w:val="nil"/>
              <w:left w:val="nil"/>
              <w:bottom w:val="nil"/>
              <w:right w:val="nil"/>
            </w:tcBorders>
            <w:tcMar>
              <w:top w:w="60" w:type="dxa"/>
              <w:left w:w="100" w:type="dxa"/>
              <w:bottom w:w="60" w:type="dxa"/>
              <w:right w:w="100" w:type="dxa"/>
            </w:tcMar>
            <w:vAlign w:val="center"/>
            <w:hideMark/>
          </w:tcPr>
          <w:p w14:paraId="48E17F1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3.2%</w:t>
            </w:r>
          </w:p>
        </w:tc>
        <w:tc>
          <w:tcPr>
            <w:tcW w:w="1300" w:type="dxa"/>
            <w:tcBorders>
              <w:top w:val="nil"/>
              <w:left w:val="nil"/>
              <w:bottom w:val="nil"/>
              <w:right w:val="nil"/>
            </w:tcBorders>
            <w:tcMar>
              <w:top w:w="60" w:type="dxa"/>
              <w:left w:w="100" w:type="dxa"/>
              <w:bottom w:w="60" w:type="dxa"/>
              <w:right w:w="100" w:type="dxa"/>
            </w:tcMar>
            <w:vAlign w:val="center"/>
            <w:hideMark/>
          </w:tcPr>
          <w:p w14:paraId="0DD652C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9</w:t>
            </w:r>
          </w:p>
        </w:tc>
        <w:tc>
          <w:tcPr>
            <w:tcW w:w="1300" w:type="dxa"/>
            <w:tcBorders>
              <w:top w:val="nil"/>
              <w:left w:val="nil"/>
              <w:bottom w:val="nil"/>
              <w:right w:val="nil"/>
            </w:tcBorders>
            <w:tcMar>
              <w:top w:w="60" w:type="dxa"/>
              <w:left w:w="100" w:type="dxa"/>
              <w:bottom w:w="60" w:type="dxa"/>
              <w:right w:w="100" w:type="dxa"/>
            </w:tcMar>
            <w:vAlign w:val="center"/>
            <w:hideMark/>
          </w:tcPr>
          <w:p w14:paraId="72317A1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5.7%</w:t>
            </w:r>
          </w:p>
        </w:tc>
        <w:tc>
          <w:tcPr>
            <w:tcW w:w="1100" w:type="dxa"/>
            <w:tcBorders>
              <w:top w:val="nil"/>
              <w:left w:val="nil"/>
              <w:bottom w:val="nil"/>
              <w:right w:val="nil"/>
            </w:tcBorders>
            <w:tcMar>
              <w:top w:w="60" w:type="dxa"/>
              <w:left w:w="100" w:type="dxa"/>
              <w:bottom w:w="60" w:type="dxa"/>
              <w:right w:w="100" w:type="dxa"/>
            </w:tcMar>
            <w:vAlign w:val="center"/>
          </w:tcPr>
          <w:p w14:paraId="6F24FB13" w14:textId="77777777" w:rsidR="001A2889" w:rsidRPr="001A2889" w:rsidRDefault="001A2889" w:rsidP="001A2889">
            <w:pPr>
              <w:rPr>
                <w:rFonts w:ascii="Times New Roman" w:hAnsi="Times New Roman" w:cs="Times New Roman"/>
                <w:sz w:val="24"/>
                <w:szCs w:val="24"/>
              </w:rPr>
            </w:pPr>
          </w:p>
        </w:tc>
      </w:tr>
      <w:tr w:rsidR="001A2889" w:rsidRPr="001A2889" w14:paraId="51CA010D" w14:textId="77777777">
        <w:tc>
          <w:tcPr>
            <w:tcW w:w="3060" w:type="dxa"/>
            <w:tcBorders>
              <w:top w:val="nil"/>
              <w:left w:val="nil"/>
              <w:bottom w:val="nil"/>
              <w:right w:val="nil"/>
            </w:tcBorders>
            <w:tcMar>
              <w:top w:w="60" w:type="dxa"/>
              <w:left w:w="100" w:type="dxa"/>
              <w:bottom w:w="60" w:type="dxa"/>
              <w:right w:w="100" w:type="dxa"/>
            </w:tcMar>
            <w:vAlign w:val="center"/>
            <w:hideMark/>
          </w:tcPr>
          <w:p w14:paraId="1CB1EFF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2–4 years</w:t>
            </w:r>
          </w:p>
        </w:tc>
        <w:tc>
          <w:tcPr>
            <w:tcW w:w="1300" w:type="dxa"/>
            <w:tcBorders>
              <w:top w:val="nil"/>
              <w:left w:val="nil"/>
              <w:bottom w:val="nil"/>
              <w:right w:val="nil"/>
            </w:tcBorders>
            <w:tcMar>
              <w:top w:w="60" w:type="dxa"/>
              <w:left w:w="100" w:type="dxa"/>
              <w:bottom w:w="60" w:type="dxa"/>
              <w:right w:w="100" w:type="dxa"/>
            </w:tcMar>
            <w:vAlign w:val="center"/>
            <w:hideMark/>
          </w:tcPr>
          <w:p w14:paraId="71500CE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8</w:t>
            </w:r>
          </w:p>
        </w:tc>
        <w:tc>
          <w:tcPr>
            <w:tcW w:w="1300" w:type="dxa"/>
            <w:tcBorders>
              <w:top w:val="nil"/>
              <w:left w:val="nil"/>
              <w:bottom w:val="nil"/>
              <w:right w:val="nil"/>
            </w:tcBorders>
            <w:tcMar>
              <w:top w:w="60" w:type="dxa"/>
              <w:left w:w="100" w:type="dxa"/>
              <w:bottom w:w="60" w:type="dxa"/>
              <w:right w:w="100" w:type="dxa"/>
            </w:tcMar>
            <w:vAlign w:val="center"/>
            <w:hideMark/>
          </w:tcPr>
          <w:p w14:paraId="270B036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8.6%</w:t>
            </w:r>
          </w:p>
        </w:tc>
        <w:tc>
          <w:tcPr>
            <w:tcW w:w="1300" w:type="dxa"/>
            <w:tcBorders>
              <w:top w:val="nil"/>
              <w:left w:val="nil"/>
              <w:bottom w:val="nil"/>
              <w:right w:val="nil"/>
            </w:tcBorders>
            <w:tcMar>
              <w:top w:w="60" w:type="dxa"/>
              <w:left w:w="100" w:type="dxa"/>
              <w:bottom w:w="60" w:type="dxa"/>
              <w:right w:w="100" w:type="dxa"/>
            </w:tcMar>
            <w:vAlign w:val="center"/>
            <w:hideMark/>
          </w:tcPr>
          <w:p w14:paraId="6C8D92F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27</w:t>
            </w:r>
          </w:p>
        </w:tc>
        <w:tc>
          <w:tcPr>
            <w:tcW w:w="1300" w:type="dxa"/>
            <w:tcBorders>
              <w:top w:val="nil"/>
              <w:left w:val="nil"/>
              <w:bottom w:val="nil"/>
              <w:right w:val="nil"/>
            </w:tcBorders>
            <w:tcMar>
              <w:top w:w="60" w:type="dxa"/>
              <w:left w:w="100" w:type="dxa"/>
              <w:bottom w:w="60" w:type="dxa"/>
              <w:right w:w="100" w:type="dxa"/>
            </w:tcMar>
            <w:vAlign w:val="center"/>
            <w:hideMark/>
          </w:tcPr>
          <w:p w14:paraId="0E4B780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17%</w:t>
            </w:r>
          </w:p>
        </w:tc>
        <w:tc>
          <w:tcPr>
            <w:tcW w:w="1100" w:type="dxa"/>
            <w:tcBorders>
              <w:top w:val="nil"/>
              <w:left w:val="nil"/>
              <w:bottom w:val="nil"/>
              <w:right w:val="nil"/>
            </w:tcBorders>
            <w:tcMar>
              <w:top w:w="60" w:type="dxa"/>
              <w:left w:w="100" w:type="dxa"/>
              <w:bottom w:w="60" w:type="dxa"/>
              <w:right w:w="100" w:type="dxa"/>
            </w:tcMar>
            <w:vAlign w:val="center"/>
          </w:tcPr>
          <w:p w14:paraId="00477E6E" w14:textId="77777777" w:rsidR="001A2889" w:rsidRPr="001A2889" w:rsidRDefault="001A2889" w:rsidP="001A2889">
            <w:pPr>
              <w:rPr>
                <w:rFonts w:ascii="Times New Roman" w:hAnsi="Times New Roman" w:cs="Times New Roman"/>
                <w:sz w:val="24"/>
                <w:szCs w:val="24"/>
              </w:rPr>
            </w:pPr>
          </w:p>
        </w:tc>
      </w:tr>
      <w:tr w:rsidR="001A2889" w:rsidRPr="001A2889" w14:paraId="496EC0B6" w14:textId="77777777">
        <w:tc>
          <w:tcPr>
            <w:tcW w:w="3060" w:type="dxa"/>
            <w:tcBorders>
              <w:top w:val="nil"/>
              <w:left w:val="nil"/>
              <w:bottom w:val="nil"/>
              <w:right w:val="nil"/>
            </w:tcBorders>
            <w:tcMar>
              <w:top w:w="60" w:type="dxa"/>
              <w:left w:w="100" w:type="dxa"/>
              <w:bottom w:w="60" w:type="dxa"/>
              <w:right w:w="100" w:type="dxa"/>
            </w:tcMar>
            <w:vAlign w:val="center"/>
            <w:hideMark/>
          </w:tcPr>
          <w:p w14:paraId="4D97275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5–17 years</w:t>
            </w:r>
          </w:p>
        </w:tc>
        <w:tc>
          <w:tcPr>
            <w:tcW w:w="1300" w:type="dxa"/>
            <w:tcBorders>
              <w:top w:val="nil"/>
              <w:left w:val="nil"/>
              <w:bottom w:val="nil"/>
              <w:right w:val="nil"/>
            </w:tcBorders>
            <w:tcMar>
              <w:top w:w="60" w:type="dxa"/>
              <w:left w:w="100" w:type="dxa"/>
              <w:bottom w:w="60" w:type="dxa"/>
              <w:right w:w="100" w:type="dxa"/>
            </w:tcMar>
            <w:vAlign w:val="center"/>
            <w:hideMark/>
          </w:tcPr>
          <w:p w14:paraId="3ACC1D4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22</w:t>
            </w:r>
          </w:p>
        </w:tc>
        <w:tc>
          <w:tcPr>
            <w:tcW w:w="1300" w:type="dxa"/>
            <w:tcBorders>
              <w:top w:val="nil"/>
              <w:left w:val="nil"/>
              <w:bottom w:val="nil"/>
              <w:right w:val="nil"/>
            </w:tcBorders>
            <w:tcMar>
              <w:top w:w="60" w:type="dxa"/>
              <w:left w:w="100" w:type="dxa"/>
              <w:bottom w:w="60" w:type="dxa"/>
              <w:right w:w="100" w:type="dxa"/>
            </w:tcMar>
            <w:vAlign w:val="center"/>
            <w:hideMark/>
          </w:tcPr>
          <w:p w14:paraId="438AFD6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24%</w:t>
            </w:r>
          </w:p>
        </w:tc>
        <w:tc>
          <w:tcPr>
            <w:tcW w:w="1300" w:type="dxa"/>
            <w:tcBorders>
              <w:top w:val="nil"/>
              <w:left w:val="nil"/>
              <w:bottom w:val="nil"/>
              <w:right w:val="nil"/>
            </w:tcBorders>
            <w:tcMar>
              <w:top w:w="60" w:type="dxa"/>
              <w:left w:w="100" w:type="dxa"/>
              <w:bottom w:w="60" w:type="dxa"/>
              <w:right w:w="100" w:type="dxa"/>
            </w:tcMar>
            <w:vAlign w:val="center"/>
            <w:hideMark/>
          </w:tcPr>
          <w:p w14:paraId="4627905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41</w:t>
            </w:r>
          </w:p>
        </w:tc>
        <w:tc>
          <w:tcPr>
            <w:tcW w:w="1300" w:type="dxa"/>
            <w:tcBorders>
              <w:top w:val="nil"/>
              <w:left w:val="nil"/>
              <w:bottom w:val="nil"/>
              <w:right w:val="nil"/>
            </w:tcBorders>
            <w:tcMar>
              <w:top w:w="60" w:type="dxa"/>
              <w:left w:w="100" w:type="dxa"/>
              <w:bottom w:w="60" w:type="dxa"/>
              <w:right w:w="100" w:type="dxa"/>
            </w:tcMar>
            <w:vAlign w:val="center"/>
            <w:hideMark/>
          </w:tcPr>
          <w:p w14:paraId="76D9171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26%</w:t>
            </w:r>
          </w:p>
        </w:tc>
        <w:tc>
          <w:tcPr>
            <w:tcW w:w="1100" w:type="dxa"/>
            <w:tcBorders>
              <w:top w:val="nil"/>
              <w:left w:val="nil"/>
              <w:bottom w:val="nil"/>
              <w:right w:val="nil"/>
            </w:tcBorders>
            <w:tcMar>
              <w:top w:w="60" w:type="dxa"/>
              <w:left w:w="100" w:type="dxa"/>
              <w:bottom w:w="60" w:type="dxa"/>
              <w:right w:w="100" w:type="dxa"/>
            </w:tcMar>
            <w:vAlign w:val="center"/>
          </w:tcPr>
          <w:p w14:paraId="0158DEFA" w14:textId="77777777" w:rsidR="001A2889" w:rsidRPr="001A2889" w:rsidRDefault="001A2889" w:rsidP="001A2889">
            <w:pPr>
              <w:rPr>
                <w:rFonts w:ascii="Times New Roman" w:hAnsi="Times New Roman" w:cs="Times New Roman"/>
                <w:sz w:val="24"/>
                <w:szCs w:val="24"/>
              </w:rPr>
            </w:pPr>
          </w:p>
        </w:tc>
      </w:tr>
      <w:tr w:rsidR="001A2889" w:rsidRPr="001A2889" w14:paraId="2CB31431" w14:textId="77777777">
        <w:tc>
          <w:tcPr>
            <w:tcW w:w="3060" w:type="dxa"/>
            <w:tcBorders>
              <w:top w:val="nil"/>
              <w:left w:val="nil"/>
              <w:bottom w:val="nil"/>
              <w:right w:val="nil"/>
            </w:tcBorders>
            <w:tcMar>
              <w:top w:w="60" w:type="dxa"/>
              <w:left w:w="100" w:type="dxa"/>
              <w:bottom w:w="60" w:type="dxa"/>
              <w:right w:w="100" w:type="dxa"/>
            </w:tcMar>
            <w:vAlign w:val="center"/>
            <w:hideMark/>
          </w:tcPr>
          <w:p w14:paraId="38E3E02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18+ years</w:t>
            </w:r>
          </w:p>
        </w:tc>
        <w:tc>
          <w:tcPr>
            <w:tcW w:w="1300" w:type="dxa"/>
            <w:tcBorders>
              <w:top w:val="nil"/>
              <w:left w:val="nil"/>
              <w:bottom w:val="nil"/>
              <w:right w:val="nil"/>
            </w:tcBorders>
            <w:tcMar>
              <w:top w:w="60" w:type="dxa"/>
              <w:left w:w="100" w:type="dxa"/>
              <w:bottom w:w="60" w:type="dxa"/>
              <w:right w:w="100" w:type="dxa"/>
            </w:tcMar>
            <w:vAlign w:val="center"/>
            <w:hideMark/>
          </w:tcPr>
          <w:p w14:paraId="191C36C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6</w:t>
            </w:r>
          </w:p>
        </w:tc>
        <w:tc>
          <w:tcPr>
            <w:tcW w:w="1300" w:type="dxa"/>
            <w:tcBorders>
              <w:top w:val="nil"/>
              <w:left w:val="nil"/>
              <w:bottom w:val="nil"/>
              <w:right w:val="nil"/>
            </w:tcBorders>
            <w:tcMar>
              <w:top w:w="60" w:type="dxa"/>
              <w:left w:w="100" w:type="dxa"/>
              <w:bottom w:w="60" w:type="dxa"/>
              <w:right w:w="100" w:type="dxa"/>
            </w:tcMar>
            <w:vAlign w:val="center"/>
            <w:hideMark/>
          </w:tcPr>
          <w:p w14:paraId="6A6D4F1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6.5%</w:t>
            </w:r>
          </w:p>
        </w:tc>
        <w:tc>
          <w:tcPr>
            <w:tcW w:w="1300" w:type="dxa"/>
            <w:tcBorders>
              <w:top w:val="nil"/>
              <w:left w:val="nil"/>
              <w:bottom w:val="nil"/>
              <w:right w:val="nil"/>
            </w:tcBorders>
            <w:tcMar>
              <w:top w:w="60" w:type="dxa"/>
              <w:left w:w="100" w:type="dxa"/>
              <w:bottom w:w="60" w:type="dxa"/>
              <w:right w:w="100" w:type="dxa"/>
            </w:tcMar>
            <w:vAlign w:val="center"/>
            <w:hideMark/>
          </w:tcPr>
          <w:p w14:paraId="7E813D4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w:t>
            </w:r>
          </w:p>
        </w:tc>
        <w:tc>
          <w:tcPr>
            <w:tcW w:w="1300" w:type="dxa"/>
            <w:tcBorders>
              <w:top w:val="nil"/>
              <w:left w:val="nil"/>
              <w:bottom w:val="nil"/>
              <w:right w:val="nil"/>
            </w:tcBorders>
            <w:tcMar>
              <w:top w:w="60" w:type="dxa"/>
              <w:left w:w="100" w:type="dxa"/>
              <w:bottom w:w="60" w:type="dxa"/>
              <w:right w:w="100" w:type="dxa"/>
            </w:tcMar>
            <w:vAlign w:val="center"/>
            <w:hideMark/>
          </w:tcPr>
          <w:p w14:paraId="3F182DD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2.5%</w:t>
            </w:r>
          </w:p>
        </w:tc>
        <w:tc>
          <w:tcPr>
            <w:tcW w:w="1100" w:type="dxa"/>
            <w:tcBorders>
              <w:top w:val="nil"/>
              <w:left w:val="nil"/>
              <w:bottom w:val="nil"/>
              <w:right w:val="nil"/>
            </w:tcBorders>
            <w:tcMar>
              <w:top w:w="60" w:type="dxa"/>
              <w:left w:w="100" w:type="dxa"/>
              <w:bottom w:w="60" w:type="dxa"/>
              <w:right w:w="100" w:type="dxa"/>
            </w:tcMar>
            <w:vAlign w:val="center"/>
          </w:tcPr>
          <w:p w14:paraId="1DA3B713" w14:textId="77777777" w:rsidR="001A2889" w:rsidRPr="001A2889" w:rsidRDefault="001A2889" w:rsidP="001A2889">
            <w:pPr>
              <w:rPr>
                <w:rFonts w:ascii="Times New Roman" w:hAnsi="Times New Roman" w:cs="Times New Roman"/>
                <w:sz w:val="24"/>
                <w:szCs w:val="24"/>
              </w:rPr>
            </w:pPr>
          </w:p>
        </w:tc>
      </w:tr>
      <w:tr w:rsidR="001A2889" w:rsidRPr="001A2889" w14:paraId="20DF3937" w14:textId="77777777">
        <w:tc>
          <w:tcPr>
            <w:tcW w:w="3060" w:type="dxa"/>
            <w:tcBorders>
              <w:top w:val="nil"/>
              <w:left w:val="nil"/>
              <w:bottom w:val="nil"/>
              <w:right w:val="nil"/>
            </w:tcBorders>
            <w:tcMar>
              <w:top w:w="60" w:type="dxa"/>
              <w:left w:w="100" w:type="dxa"/>
              <w:bottom w:w="60" w:type="dxa"/>
              <w:right w:w="100" w:type="dxa"/>
            </w:tcMar>
            <w:vAlign w:val="center"/>
            <w:hideMark/>
          </w:tcPr>
          <w:p w14:paraId="6D1A6FC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Region</w:t>
            </w:r>
          </w:p>
        </w:tc>
        <w:tc>
          <w:tcPr>
            <w:tcW w:w="1300" w:type="dxa"/>
            <w:tcBorders>
              <w:top w:val="nil"/>
              <w:left w:val="nil"/>
              <w:bottom w:val="nil"/>
              <w:right w:val="nil"/>
            </w:tcBorders>
            <w:tcMar>
              <w:top w:w="60" w:type="dxa"/>
              <w:left w:w="100" w:type="dxa"/>
              <w:bottom w:w="60" w:type="dxa"/>
              <w:right w:w="100" w:type="dxa"/>
            </w:tcMar>
            <w:vAlign w:val="center"/>
          </w:tcPr>
          <w:p w14:paraId="2A3FB057" w14:textId="77777777" w:rsidR="001A2889" w:rsidRPr="001A2889" w:rsidRDefault="001A2889" w:rsidP="001A2889">
            <w:pPr>
              <w:rPr>
                <w:rFonts w:ascii="Times New Roman" w:hAnsi="Times New Roman" w:cs="Times New Roman"/>
                <w:sz w:val="24"/>
                <w:szCs w:val="24"/>
              </w:rPr>
            </w:pPr>
          </w:p>
        </w:tc>
        <w:tc>
          <w:tcPr>
            <w:tcW w:w="1300" w:type="dxa"/>
            <w:tcBorders>
              <w:top w:val="nil"/>
              <w:left w:val="nil"/>
              <w:bottom w:val="nil"/>
              <w:right w:val="nil"/>
            </w:tcBorders>
            <w:tcMar>
              <w:top w:w="60" w:type="dxa"/>
              <w:left w:w="100" w:type="dxa"/>
              <w:bottom w:w="60" w:type="dxa"/>
              <w:right w:w="100" w:type="dxa"/>
            </w:tcMar>
            <w:vAlign w:val="center"/>
          </w:tcPr>
          <w:p w14:paraId="685CBB2A" w14:textId="77777777" w:rsidR="001A2889" w:rsidRPr="001A2889" w:rsidRDefault="001A2889" w:rsidP="001A2889">
            <w:pPr>
              <w:rPr>
                <w:rFonts w:ascii="Times New Roman" w:hAnsi="Times New Roman" w:cs="Times New Roman"/>
                <w:sz w:val="24"/>
                <w:szCs w:val="24"/>
              </w:rPr>
            </w:pPr>
          </w:p>
        </w:tc>
        <w:tc>
          <w:tcPr>
            <w:tcW w:w="1300" w:type="dxa"/>
            <w:tcBorders>
              <w:top w:val="nil"/>
              <w:left w:val="nil"/>
              <w:bottom w:val="nil"/>
              <w:right w:val="nil"/>
            </w:tcBorders>
            <w:tcMar>
              <w:top w:w="60" w:type="dxa"/>
              <w:left w:w="100" w:type="dxa"/>
              <w:bottom w:w="60" w:type="dxa"/>
              <w:right w:w="100" w:type="dxa"/>
            </w:tcMar>
            <w:vAlign w:val="center"/>
          </w:tcPr>
          <w:p w14:paraId="488537FD" w14:textId="77777777" w:rsidR="001A2889" w:rsidRPr="001A2889" w:rsidRDefault="001A2889" w:rsidP="001A2889">
            <w:pPr>
              <w:rPr>
                <w:rFonts w:ascii="Times New Roman" w:hAnsi="Times New Roman" w:cs="Times New Roman"/>
                <w:sz w:val="24"/>
                <w:szCs w:val="24"/>
              </w:rPr>
            </w:pPr>
          </w:p>
        </w:tc>
        <w:tc>
          <w:tcPr>
            <w:tcW w:w="1300" w:type="dxa"/>
            <w:tcBorders>
              <w:top w:val="nil"/>
              <w:left w:val="nil"/>
              <w:bottom w:val="nil"/>
              <w:right w:val="nil"/>
            </w:tcBorders>
            <w:tcMar>
              <w:top w:w="60" w:type="dxa"/>
              <w:left w:w="100" w:type="dxa"/>
              <w:bottom w:w="60" w:type="dxa"/>
              <w:right w:w="100" w:type="dxa"/>
            </w:tcMar>
            <w:vAlign w:val="center"/>
          </w:tcPr>
          <w:p w14:paraId="39C1B6CF" w14:textId="77777777" w:rsidR="001A2889" w:rsidRPr="001A2889" w:rsidRDefault="001A2889" w:rsidP="001A2889">
            <w:pPr>
              <w:rPr>
                <w:rFonts w:ascii="Times New Roman" w:hAnsi="Times New Roman" w:cs="Times New Roman"/>
                <w:sz w:val="24"/>
                <w:szCs w:val="24"/>
              </w:rPr>
            </w:pPr>
          </w:p>
        </w:tc>
        <w:tc>
          <w:tcPr>
            <w:tcW w:w="1100" w:type="dxa"/>
            <w:tcBorders>
              <w:top w:val="nil"/>
              <w:left w:val="nil"/>
              <w:bottom w:val="nil"/>
              <w:right w:val="nil"/>
            </w:tcBorders>
            <w:tcMar>
              <w:top w:w="60" w:type="dxa"/>
              <w:left w:w="100" w:type="dxa"/>
              <w:bottom w:w="60" w:type="dxa"/>
              <w:right w:w="100" w:type="dxa"/>
            </w:tcMar>
            <w:vAlign w:val="center"/>
            <w:hideMark/>
          </w:tcPr>
          <w:p w14:paraId="578EEB2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&lt;0.001</w:t>
            </w:r>
          </w:p>
        </w:tc>
      </w:tr>
      <w:tr w:rsidR="001A2889" w:rsidRPr="001A2889" w14:paraId="1437CE1C" w14:textId="77777777">
        <w:tc>
          <w:tcPr>
            <w:tcW w:w="3060" w:type="dxa"/>
            <w:tcBorders>
              <w:top w:val="nil"/>
              <w:left w:val="nil"/>
              <w:bottom w:val="nil"/>
              <w:right w:val="nil"/>
            </w:tcBorders>
            <w:tcMar>
              <w:top w:w="60" w:type="dxa"/>
              <w:left w:w="100" w:type="dxa"/>
              <w:bottom w:w="60" w:type="dxa"/>
              <w:right w:w="100" w:type="dxa"/>
            </w:tcMar>
            <w:vAlign w:val="center"/>
            <w:hideMark/>
          </w:tcPr>
          <w:p w14:paraId="2EA2BFD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Northern</w:t>
            </w:r>
          </w:p>
        </w:tc>
        <w:tc>
          <w:tcPr>
            <w:tcW w:w="1300" w:type="dxa"/>
            <w:tcBorders>
              <w:top w:val="nil"/>
              <w:left w:val="nil"/>
              <w:bottom w:val="nil"/>
              <w:right w:val="nil"/>
            </w:tcBorders>
            <w:tcMar>
              <w:top w:w="60" w:type="dxa"/>
              <w:left w:w="100" w:type="dxa"/>
              <w:bottom w:w="60" w:type="dxa"/>
              <w:right w:w="100" w:type="dxa"/>
            </w:tcMar>
            <w:vAlign w:val="center"/>
            <w:hideMark/>
          </w:tcPr>
          <w:p w14:paraId="34A71C5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36</w:t>
            </w:r>
          </w:p>
        </w:tc>
        <w:tc>
          <w:tcPr>
            <w:tcW w:w="1300" w:type="dxa"/>
            <w:tcBorders>
              <w:top w:val="nil"/>
              <w:left w:val="nil"/>
              <w:bottom w:val="nil"/>
              <w:right w:val="nil"/>
            </w:tcBorders>
            <w:tcMar>
              <w:top w:w="60" w:type="dxa"/>
              <w:left w:w="100" w:type="dxa"/>
              <w:bottom w:w="60" w:type="dxa"/>
              <w:right w:w="100" w:type="dxa"/>
            </w:tcMar>
            <w:vAlign w:val="center"/>
            <w:hideMark/>
          </w:tcPr>
          <w:p w14:paraId="09F6D8A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11%</w:t>
            </w:r>
          </w:p>
        </w:tc>
        <w:tc>
          <w:tcPr>
            <w:tcW w:w="1300" w:type="dxa"/>
            <w:tcBorders>
              <w:top w:val="nil"/>
              <w:left w:val="nil"/>
              <w:bottom w:val="nil"/>
              <w:right w:val="nil"/>
            </w:tcBorders>
            <w:tcMar>
              <w:top w:w="60" w:type="dxa"/>
              <w:left w:w="100" w:type="dxa"/>
              <w:bottom w:w="60" w:type="dxa"/>
              <w:right w:w="100" w:type="dxa"/>
            </w:tcMar>
            <w:vAlign w:val="center"/>
            <w:hideMark/>
          </w:tcPr>
          <w:p w14:paraId="5DE3189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79</w:t>
            </w:r>
          </w:p>
        </w:tc>
        <w:tc>
          <w:tcPr>
            <w:tcW w:w="1300" w:type="dxa"/>
            <w:tcBorders>
              <w:top w:val="nil"/>
              <w:left w:val="nil"/>
              <w:bottom w:val="nil"/>
              <w:right w:val="nil"/>
            </w:tcBorders>
            <w:tcMar>
              <w:top w:w="60" w:type="dxa"/>
              <w:left w:w="100" w:type="dxa"/>
              <w:bottom w:w="60" w:type="dxa"/>
              <w:right w:w="100" w:type="dxa"/>
            </w:tcMar>
            <w:vAlign w:val="center"/>
            <w:hideMark/>
          </w:tcPr>
          <w:p w14:paraId="6C34794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w:t>
            </w:r>
          </w:p>
        </w:tc>
        <w:tc>
          <w:tcPr>
            <w:tcW w:w="1100" w:type="dxa"/>
            <w:tcBorders>
              <w:top w:val="nil"/>
              <w:left w:val="nil"/>
              <w:bottom w:val="nil"/>
              <w:right w:val="nil"/>
            </w:tcBorders>
            <w:tcMar>
              <w:top w:w="60" w:type="dxa"/>
              <w:left w:w="100" w:type="dxa"/>
              <w:bottom w:w="60" w:type="dxa"/>
              <w:right w:w="100" w:type="dxa"/>
            </w:tcMar>
            <w:vAlign w:val="center"/>
          </w:tcPr>
          <w:p w14:paraId="341E949B" w14:textId="77777777" w:rsidR="001A2889" w:rsidRPr="001A2889" w:rsidRDefault="001A2889" w:rsidP="001A2889">
            <w:pPr>
              <w:rPr>
                <w:rFonts w:ascii="Times New Roman" w:hAnsi="Times New Roman" w:cs="Times New Roman"/>
                <w:sz w:val="24"/>
                <w:szCs w:val="24"/>
              </w:rPr>
            </w:pPr>
          </w:p>
        </w:tc>
      </w:tr>
      <w:tr w:rsidR="001A2889" w:rsidRPr="001A2889" w14:paraId="1D041ED4" w14:textId="77777777">
        <w:tc>
          <w:tcPr>
            <w:tcW w:w="3060" w:type="dxa"/>
            <w:tcBorders>
              <w:top w:val="nil"/>
              <w:left w:val="nil"/>
              <w:bottom w:val="nil"/>
              <w:right w:val="nil"/>
            </w:tcBorders>
            <w:tcMar>
              <w:top w:w="60" w:type="dxa"/>
              <w:left w:w="100" w:type="dxa"/>
              <w:bottom w:w="60" w:type="dxa"/>
              <w:right w:w="100" w:type="dxa"/>
            </w:tcMar>
            <w:vAlign w:val="center"/>
            <w:hideMark/>
          </w:tcPr>
          <w:p w14:paraId="3BEACCC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Central</w:t>
            </w:r>
          </w:p>
        </w:tc>
        <w:tc>
          <w:tcPr>
            <w:tcW w:w="1300" w:type="dxa"/>
            <w:tcBorders>
              <w:top w:val="nil"/>
              <w:left w:val="nil"/>
              <w:bottom w:val="nil"/>
              <w:right w:val="nil"/>
            </w:tcBorders>
            <w:tcMar>
              <w:top w:w="60" w:type="dxa"/>
              <w:left w:w="100" w:type="dxa"/>
              <w:bottom w:w="60" w:type="dxa"/>
              <w:right w:w="100" w:type="dxa"/>
            </w:tcMar>
            <w:vAlign w:val="center"/>
            <w:hideMark/>
          </w:tcPr>
          <w:p w14:paraId="39BFE35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210</w:t>
            </w:r>
          </w:p>
        </w:tc>
        <w:tc>
          <w:tcPr>
            <w:tcW w:w="1300" w:type="dxa"/>
            <w:tcBorders>
              <w:top w:val="nil"/>
              <w:left w:val="nil"/>
              <w:bottom w:val="nil"/>
              <w:right w:val="nil"/>
            </w:tcBorders>
            <w:tcMar>
              <w:top w:w="60" w:type="dxa"/>
              <w:left w:w="100" w:type="dxa"/>
              <w:bottom w:w="60" w:type="dxa"/>
              <w:right w:w="100" w:type="dxa"/>
            </w:tcMar>
            <w:vAlign w:val="center"/>
            <w:hideMark/>
          </w:tcPr>
          <w:p w14:paraId="1182292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63%</w:t>
            </w:r>
          </w:p>
        </w:tc>
        <w:tc>
          <w:tcPr>
            <w:tcW w:w="1300" w:type="dxa"/>
            <w:tcBorders>
              <w:top w:val="nil"/>
              <w:left w:val="nil"/>
              <w:bottom w:val="nil"/>
              <w:right w:val="nil"/>
            </w:tcBorders>
            <w:tcMar>
              <w:top w:w="60" w:type="dxa"/>
              <w:left w:w="100" w:type="dxa"/>
              <w:bottom w:w="60" w:type="dxa"/>
              <w:right w:w="100" w:type="dxa"/>
            </w:tcMar>
            <w:vAlign w:val="center"/>
            <w:hideMark/>
          </w:tcPr>
          <w:p w14:paraId="4972544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338</w:t>
            </w:r>
          </w:p>
        </w:tc>
        <w:tc>
          <w:tcPr>
            <w:tcW w:w="1300" w:type="dxa"/>
            <w:tcBorders>
              <w:top w:val="nil"/>
              <w:left w:val="nil"/>
              <w:bottom w:val="nil"/>
              <w:right w:val="nil"/>
            </w:tcBorders>
            <w:tcMar>
              <w:top w:w="60" w:type="dxa"/>
              <w:left w:w="100" w:type="dxa"/>
              <w:bottom w:w="60" w:type="dxa"/>
              <w:right w:w="100" w:type="dxa"/>
            </w:tcMar>
            <w:vAlign w:val="center"/>
            <w:hideMark/>
          </w:tcPr>
          <w:p w14:paraId="4217F2B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45%</w:t>
            </w:r>
          </w:p>
        </w:tc>
        <w:tc>
          <w:tcPr>
            <w:tcW w:w="1100" w:type="dxa"/>
            <w:tcBorders>
              <w:top w:val="nil"/>
              <w:left w:val="nil"/>
              <w:bottom w:val="nil"/>
              <w:right w:val="nil"/>
            </w:tcBorders>
            <w:tcMar>
              <w:top w:w="60" w:type="dxa"/>
              <w:left w:w="100" w:type="dxa"/>
              <w:bottom w:w="60" w:type="dxa"/>
              <w:right w:w="100" w:type="dxa"/>
            </w:tcMar>
            <w:vAlign w:val="center"/>
          </w:tcPr>
          <w:p w14:paraId="2BC76F43" w14:textId="77777777" w:rsidR="001A2889" w:rsidRPr="001A2889" w:rsidRDefault="001A2889" w:rsidP="001A2889">
            <w:pPr>
              <w:rPr>
                <w:rFonts w:ascii="Times New Roman" w:hAnsi="Times New Roman" w:cs="Times New Roman"/>
                <w:sz w:val="24"/>
                <w:szCs w:val="24"/>
              </w:rPr>
            </w:pPr>
          </w:p>
        </w:tc>
      </w:tr>
      <w:tr w:rsidR="001A2889" w:rsidRPr="001A2889" w14:paraId="32695E2C" w14:textId="77777777">
        <w:tc>
          <w:tcPr>
            <w:tcW w:w="3060" w:type="dxa"/>
            <w:tcBorders>
              <w:top w:val="nil"/>
              <w:left w:val="nil"/>
              <w:bottom w:val="single" w:sz="4" w:space="0" w:color="000000"/>
              <w:right w:val="nil"/>
            </w:tcBorders>
            <w:tcMar>
              <w:top w:w="60" w:type="dxa"/>
              <w:left w:w="100" w:type="dxa"/>
              <w:bottom w:w="60" w:type="dxa"/>
              <w:right w:w="100" w:type="dxa"/>
            </w:tcMar>
            <w:vAlign w:val="center"/>
            <w:hideMark/>
          </w:tcPr>
          <w:p w14:paraId="421F7B6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Southern</w:t>
            </w:r>
          </w:p>
        </w:tc>
        <w:tc>
          <w:tcPr>
            <w:tcW w:w="1300" w:type="dxa"/>
            <w:tcBorders>
              <w:top w:val="nil"/>
              <w:left w:val="nil"/>
              <w:bottom w:val="single" w:sz="4" w:space="0" w:color="000000"/>
              <w:right w:val="nil"/>
            </w:tcBorders>
            <w:tcMar>
              <w:top w:w="60" w:type="dxa"/>
              <w:left w:w="100" w:type="dxa"/>
              <w:bottom w:w="60" w:type="dxa"/>
              <w:right w:w="100" w:type="dxa"/>
            </w:tcMar>
            <w:vAlign w:val="center"/>
            <w:hideMark/>
          </w:tcPr>
          <w:p w14:paraId="4CCE678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88</w:t>
            </w:r>
          </w:p>
        </w:tc>
        <w:tc>
          <w:tcPr>
            <w:tcW w:w="1300" w:type="dxa"/>
            <w:tcBorders>
              <w:top w:val="nil"/>
              <w:left w:val="nil"/>
              <w:bottom w:val="single" w:sz="4" w:space="0" w:color="000000"/>
              <w:right w:val="nil"/>
            </w:tcBorders>
            <w:tcMar>
              <w:top w:w="60" w:type="dxa"/>
              <w:left w:w="100" w:type="dxa"/>
              <w:bottom w:w="60" w:type="dxa"/>
              <w:right w:w="100" w:type="dxa"/>
            </w:tcMar>
            <w:vAlign w:val="center"/>
            <w:hideMark/>
          </w:tcPr>
          <w:p w14:paraId="25666D9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26%</w:t>
            </w:r>
          </w:p>
        </w:tc>
        <w:tc>
          <w:tcPr>
            <w:tcW w:w="1300" w:type="dxa"/>
            <w:tcBorders>
              <w:top w:val="nil"/>
              <w:left w:val="nil"/>
              <w:bottom w:val="single" w:sz="4" w:space="0" w:color="000000"/>
              <w:right w:val="nil"/>
            </w:tcBorders>
            <w:tcMar>
              <w:top w:w="60" w:type="dxa"/>
              <w:left w:w="100" w:type="dxa"/>
              <w:bottom w:w="60" w:type="dxa"/>
              <w:right w:w="100" w:type="dxa"/>
            </w:tcMar>
            <w:vAlign w:val="center"/>
            <w:hideMark/>
          </w:tcPr>
          <w:p w14:paraId="6587725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339</w:t>
            </w:r>
          </w:p>
        </w:tc>
        <w:tc>
          <w:tcPr>
            <w:tcW w:w="1300" w:type="dxa"/>
            <w:tcBorders>
              <w:top w:val="nil"/>
              <w:left w:val="nil"/>
              <w:bottom w:val="single" w:sz="4" w:space="0" w:color="000000"/>
              <w:right w:val="nil"/>
            </w:tcBorders>
            <w:tcMar>
              <w:top w:w="60" w:type="dxa"/>
              <w:left w:w="100" w:type="dxa"/>
              <w:bottom w:w="60" w:type="dxa"/>
              <w:right w:w="100" w:type="dxa"/>
            </w:tcMar>
            <w:vAlign w:val="center"/>
            <w:hideMark/>
          </w:tcPr>
          <w:p w14:paraId="1839E20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45%</w:t>
            </w:r>
          </w:p>
        </w:tc>
        <w:tc>
          <w:tcPr>
            <w:tcW w:w="1100" w:type="dxa"/>
            <w:tcBorders>
              <w:top w:val="nil"/>
              <w:left w:val="nil"/>
              <w:bottom w:val="single" w:sz="4" w:space="0" w:color="000000"/>
              <w:right w:val="nil"/>
            </w:tcBorders>
            <w:tcMar>
              <w:top w:w="60" w:type="dxa"/>
              <w:left w:w="100" w:type="dxa"/>
              <w:bottom w:w="60" w:type="dxa"/>
              <w:right w:w="100" w:type="dxa"/>
            </w:tcMar>
            <w:vAlign w:val="center"/>
          </w:tcPr>
          <w:p w14:paraId="7F9FD989" w14:textId="77777777" w:rsidR="001A2889" w:rsidRPr="001A2889" w:rsidRDefault="001A2889" w:rsidP="001A2889">
            <w:pPr>
              <w:rPr>
                <w:rFonts w:ascii="Times New Roman" w:hAnsi="Times New Roman" w:cs="Times New Roman"/>
                <w:sz w:val="24"/>
                <w:szCs w:val="24"/>
              </w:rPr>
            </w:pPr>
          </w:p>
        </w:tc>
      </w:tr>
    </w:tbl>
    <w:p w14:paraId="0F4E8C23" w14:textId="082396FB"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i/>
          <w:iCs/>
          <w:sz w:val="24"/>
          <w:szCs w:val="24"/>
        </w:rPr>
        <w:t xml:space="preserve">Note. </w:t>
      </w:r>
      <w:r w:rsidRPr="001A2889">
        <w:rPr>
          <w:rFonts w:ascii="Times New Roman" w:hAnsi="Times New Roman" w:cs="Times New Roman"/>
          <w:sz w:val="24"/>
          <w:szCs w:val="24"/>
        </w:rPr>
        <w:t>N = 1,191 (356 negative, 835 positive). p-values derived from Pearson</w:t>
      </w:r>
      <w:r w:rsidR="0038502B">
        <w:rPr>
          <w:rFonts w:ascii="Times New Roman" w:hAnsi="Times New Roman" w:cs="Times New Roman"/>
          <w:sz w:val="24"/>
          <w:szCs w:val="24"/>
        </w:rPr>
        <w:t>’</w:t>
      </w:r>
      <w:r w:rsidRPr="001A2889">
        <w:rPr>
          <w:rFonts w:ascii="Times New Roman" w:hAnsi="Times New Roman" w:cs="Times New Roman"/>
          <w:sz w:val="24"/>
          <w:szCs w:val="24"/>
        </w:rPr>
        <w:t>s chi-squared test; Fisher</w:t>
      </w:r>
      <w:r w:rsidR="0038502B">
        <w:rPr>
          <w:rFonts w:ascii="Times New Roman" w:hAnsi="Times New Roman" w:cs="Times New Roman"/>
          <w:sz w:val="24"/>
          <w:szCs w:val="24"/>
        </w:rPr>
        <w:t>’</w:t>
      </w:r>
      <w:r w:rsidRPr="001A2889">
        <w:rPr>
          <w:rFonts w:ascii="Times New Roman" w:hAnsi="Times New Roman" w:cs="Times New Roman"/>
          <w:sz w:val="24"/>
          <w:szCs w:val="24"/>
        </w:rPr>
        <w:t>s exact test was applied where expected cell counts were less than five.</w:t>
      </w:r>
    </w:p>
    <w:p w14:paraId="5362DF80" w14:textId="77777777" w:rsidR="001A2889" w:rsidRPr="001A2889" w:rsidRDefault="001A2889" w:rsidP="001A2889">
      <w:pPr>
        <w:rPr>
          <w:rFonts w:ascii="Times New Roman" w:hAnsi="Times New Roman" w:cs="Times New Roman"/>
          <w:sz w:val="24"/>
          <w:szCs w:val="24"/>
        </w:rPr>
      </w:pPr>
    </w:p>
    <w:p w14:paraId="1325019A" w14:textId="77777777" w:rsidR="001A2889" w:rsidRP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 xml:space="preserve">Sex was significantly associated with IgM result (p = .002). Among IgM-positive cases, well over half were male (59%, n = 409), compared to under half of negative cases (48%, n = 150). Age group was not significantly associated with IgM result (p = .132). Region showed the strongest association with IgM result of all the variables tested (p &lt; .001). Southern region accounted for nearly half of all IgM-positive cases (45%, n = 339), almost double its share of negative cases </w:t>
      </w:r>
      <w:r w:rsidRPr="001A2889">
        <w:rPr>
          <w:rFonts w:ascii="Times New Roman" w:hAnsi="Times New Roman" w:cs="Times New Roman"/>
          <w:sz w:val="24"/>
          <w:szCs w:val="24"/>
        </w:rPr>
        <w:lastRenderedPageBreak/>
        <w:t>(26%, n = 88), while Northern region contributed a similar proportion to both positive (10%, n = 79) and negative (11%, n = 36) cases.</w:t>
      </w:r>
    </w:p>
    <w:p w14:paraId="0DBB2B18" w14:textId="3DA4B603" w:rsidR="001A2889" w:rsidRP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Variables associated with IgM positivity at bivariate level, together with the other factors specified in the conceptual framework, were entered into a multivariate logistic regression model.</w:t>
      </w:r>
      <w:r w:rsidR="00F60581">
        <w:rPr>
          <w:rFonts w:ascii="Times New Roman" w:hAnsi="Times New Roman" w:cs="Times New Roman"/>
          <w:sz w:val="24"/>
          <w:szCs w:val="24"/>
        </w:rPr>
        <w:t xml:space="preserve"> </w:t>
      </w:r>
      <w:r w:rsidR="00F60581">
        <w:rPr>
          <w:rFonts w:ascii="Times New Roman" w:hAnsi="Times New Roman" w:cs="Times New Roman"/>
          <w:sz w:val="24"/>
          <w:szCs w:val="24"/>
        </w:rPr>
        <w:fldChar w:fldCharType="begin"/>
      </w:r>
      <w:r w:rsidR="00F60581">
        <w:rPr>
          <w:rFonts w:ascii="Times New Roman" w:hAnsi="Times New Roman" w:cs="Times New Roman"/>
          <w:sz w:val="24"/>
          <w:szCs w:val="24"/>
        </w:rPr>
        <w:instrText xml:space="preserve"> REF _Ref232836250 \h  \* MERGEFORMAT </w:instrText>
      </w:r>
      <w:r w:rsidR="00F60581">
        <w:rPr>
          <w:rFonts w:ascii="Times New Roman" w:hAnsi="Times New Roman" w:cs="Times New Roman"/>
          <w:sz w:val="24"/>
          <w:szCs w:val="24"/>
        </w:rPr>
      </w:r>
      <w:r w:rsidR="00F60581">
        <w:rPr>
          <w:rFonts w:ascii="Times New Roman" w:hAnsi="Times New Roman" w:cs="Times New Roman"/>
          <w:sz w:val="24"/>
          <w:szCs w:val="24"/>
        </w:rPr>
        <w:fldChar w:fldCharType="separate"/>
      </w:r>
      <w:r w:rsidR="00F60581" w:rsidRPr="00F60581">
        <w:rPr>
          <w:rFonts w:ascii="Times New Roman" w:hAnsi="Times New Roman" w:cs="Times New Roman"/>
          <w:sz w:val="24"/>
          <w:szCs w:val="24"/>
        </w:rPr>
        <w:t>Table 3</w:t>
      </w:r>
      <w:r w:rsidR="00F60581">
        <w:rPr>
          <w:rFonts w:ascii="Times New Roman" w:hAnsi="Times New Roman" w:cs="Times New Roman"/>
          <w:sz w:val="24"/>
          <w:szCs w:val="24"/>
        </w:rPr>
        <w:fldChar w:fldCharType="end"/>
      </w:r>
      <w:r w:rsidRPr="001A2889">
        <w:rPr>
          <w:rFonts w:ascii="Times New Roman" w:hAnsi="Times New Roman" w:cs="Times New Roman"/>
          <w:sz w:val="24"/>
          <w:szCs w:val="24"/>
        </w:rPr>
        <w:t xml:space="preserve"> presents the adjusted odds ratios.</w:t>
      </w:r>
    </w:p>
    <w:p w14:paraId="6070E965" w14:textId="77777777" w:rsidR="001A2889" w:rsidRPr="00F60581" w:rsidRDefault="001A2889" w:rsidP="001A2889">
      <w:pPr>
        <w:rPr>
          <w:rFonts w:ascii="Times New Roman" w:hAnsi="Times New Roman" w:cs="Times New Roman"/>
          <w:sz w:val="24"/>
          <w:szCs w:val="24"/>
        </w:rPr>
      </w:pPr>
    </w:p>
    <w:p w14:paraId="66B6B1F0" w14:textId="7E159D9D" w:rsidR="001A2889" w:rsidRPr="00F60581" w:rsidRDefault="00F60581" w:rsidP="00F60581">
      <w:pPr>
        <w:pStyle w:val="Caption"/>
        <w:rPr>
          <w:rFonts w:eastAsia="Calibri"/>
          <w:i w:val="0"/>
          <w:iCs w:val="0"/>
          <w:color w:val="auto"/>
          <w:sz w:val="24"/>
          <w:szCs w:val="24"/>
        </w:rPr>
      </w:pPr>
      <w:bookmarkStart w:id="79" w:name="_Ref232836250"/>
      <w:bookmarkStart w:id="80" w:name="_Toc232849024"/>
      <w:r w:rsidRPr="00F60581">
        <w:rPr>
          <w:rFonts w:eastAsia="Calibri"/>
          <w:i w:val="0"/>
          <w:iCs w:val="0"/>
          <w:color w:val="auto"/>
          <w:sz w:val="24"/>
          <w:szCs w:val="24"/>
        </w:rPr>
        <w:t xml:space="preserve">Table </w:t>
      </w:r>
      <w:r w:rsidRPr="00F60581">
        <w:rPr>
          <w:rFonts w:eastAsia="Calibri"/>
          <w:i w:val="0"/>
          <w:iCs w:val="0"/>
          <w:color w:val="auto"/>
          <w:sz w:val="24"/>
          <w:szCs w:val="24"/>
        </w:rPr>
        <w:fldChar w:fldCharType="begin"/>
      </w:r>
      <w:r w:rsidRPr="00F60581">
        <w:rPr>
          <w:rFonts w:eastAsia="Calibri"/>
          <w:i w:val="0"/>
          <w:iCs w:val="0"/>
          <w:color w:val="auto"/>
          <w:sz w:val="24"/>
          <w:szCs w:val="24"/>
        </w:rPr>
        <w:instrText xml:space="preserve"> SEQ Table \* ARABIC </w:instrText>
      </w:r>
      <w:r w:rsidRPr="00F60581">
        <w:rPr>
          <w:rFonts w:eastAsia="Calibri"/>
          <w:i w:val="0"/>
          <w:iCs w:val="0"/>
          <w:color w:val="auto"/>
          <w:sz w:val="24"/>
          <w:szCs w:val="24"/>
        </w:rPr>
        <w:fldChar w:fldCharType="separate"/>
      </w:r>
      <w:r w:rsidR="008978E2">
        <w:rPr>
          <w:rFonts w:eastAsia="Calibri"/>
          <w:i w:val="0"/>
          <w:iCs w:val="0"/>
          <w:noProof/>
          <w:color w:val="auto"/>
          <w:sz w:val="24"/>
          <w:szCs w:val="24"/>
        </w:rPr>
        <w:t>3</w:t>
      </w:r>
      <w:r w:rsidRPr="00F60581">
        <w:rPr>
          <w:rFonts w:eastAsia="Calibri"/>
          <w:i w:val="0"/>
          <w:iCs w:val="0"/>
          <w:color w:val="auto"/>
          <w:sz w:val="24"/>
          <w:szCs w:val="24"/>
        </w:rPr>
        <w:fldChar w:fldCharType="end"/>
      </w:r>
      <w:bookmarkEnd w:id="79"/>
      <w:r w:rsidRPr="00F60581">
        <w:rPr>
          <w:rFonts w:eastAsia="Calibri"/>
          <w:i w:val="0"/>
          <w:iCs w:val="0"/>
          <w:color w:val="auto"/>
          <w:sz w:val="24"/>
          <w:szCs w:val="24"/>
        </w:rPr>
        <w:t>: Multivariate Logistic Regression of Factors Associated with Measles IgM Positivity, Malawi, April 2023–December 2024 (N = 1,191)</w:t>
      </w:r>
      <w:bookmarkEnd w:id="8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0"/>
        <w:gridCol w:w="1400"/>
        <w:gridCol w:w="2400"/>
        <w:gridCol w:w="1600"/>
      </w:tblGrid>
      <w:tr w:rsidR="001A2889" w:rsidRPr="001A2889" w14:paraId="54FA9C6C" w14:textId="77777777">
        <w:tc>
          <w:tcPr>
            <w:tcW w:w="396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09D533C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Characteristic</w:t>
            </w:r>
          </w:p>
        </w:tc>
        <w:tc>
          <w:tcPr>
            <w:tcW w:w="140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532F5EB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aOR</w:t>
            </w:r>
          </w:p>
        </w:tc>
        <w:tc>
          <w:tcPr>
            <w:tcW w:w="240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5B513FA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95% CI</w:t>
            </w:r>
          </w:p>
        </w:tc>
        <w:tc>
          <w:tcPr>
            <w:tcW w:w="160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5704248A" w14:textId="75078DF0" w:rsidR="001A2889" w:rsidRPr="001A2889" w:rsidRDefault="008F4B71" w:rsidP="001A2889">
            <w:pPr>
              <w:rPr>
                <w:rFonts w:ascii="Times New Roman" w:hAnsi="Times New Roman" w:cs="Times New Roman"/>
                <w:sz w:val="24"/>
                <w:szCs w:val="24"/>
              </w:rPr>
            </w:pPr>
            <w:r w:rsidRPr="001A2889">
              <w:rPr>
                <w:rFonts w:ascii="Times New Roman" w:hAnsi="Times New Roman" w:cs="Times New Roman"/>
                <w:b/>
                <w:bCs/>
                <w:i/>
                <w:iCs/>
                <w:sz w:val="24"/>
                <w:szCs w:val="24"/>
              </w:rPr>
              <w:t>P</w:t>
            </w:r>
          </w:p>
        </w:tc>
      </w:tr>
      <w:tr w:rsidR="001A2889" w:rsidRPr="001A2889" w14:paraId="028CC7F8" w14:textId="77777777">
        <w:tc>
          <w:tcPr>
            <w:tcW w:w="3960" w:type="dxa"/>
            <w:tcBorders>
              <w:top w:val="nil"/>
              <w:left w:val="nil"/>
              <w:bottom w:val="nil"/>
              <w:right w:val="nil"/>
            </w:tcBorders>
            <w:tcMar>
              <w:top w:w="60" w:type="dxa"/>
              <w:left w:w="100" w:type="dxa"/>
              <w:bottom w:w="60" w:type="dxa"/>
              <w:right w:w="100" w:type="dxa"/>
            </w:tcMar>
            <w:vAlign w:val="center"/>
            <w:hideMark/>
          </w:tcPr>
          <w:p w14:paraId="2D4FB05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Male (vs. female)</w:t>
            </w:r>
          </w:p>
        </w:tc>
        <w:tc>
          <w:tcPr>
            <w:tcW w:w="1400" w:type="dxa"/>
            <w:tcBorders>
              <w:top w:val="nil"/>
              <w:left w:val="nil"/>
              <w:bottom w:val="nil"/>
              <w:right w:val="nil"/>
            </w:tcBorders>
            <w:tcMar>
              <w:top w:w="60" w:type="dxa"/>
              <w:left w:w="100" w:type="dxa"/>
              <w:bottom w:w="60" w:type="dxa"/>
              <w:right w:w="100" w:type="dxa"/>
            </w:tcMar>
            <w:vAlign w:val="center"/>
            <w:hideMark/>
          </w:tcPr>
          <w:p w14:paraId="652D53B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2.17</w:t>
            </w:r>
          </w:p>
        </w:tc>
        <w:tc>
          <w:tcPr>
            <w:tcW w:w="2400" w:type="dxa"/>
            <w:tcBorders>
              <w:top w:val="nil"/>
              <w:left w:val="nil"/>
              <w:bottom w:val="nil"/>
              <w:right w:val="nil"/>
            </w:tcBorders>
            <w:tcMar>
              <w:top w:w="60" w:type="dxa"/>
              <w:left w:w="100" w:type="dxa"/>
              <w:bottom w:w="60" w:type="dxa"/>
              <w:right w:w="100" w:type="dxa"/>
            </w:tcMar>
            <w:vAlign w:val="center"/>
            <w:hideMark/>
          </w:tcPr>
          <w:p w14:paraId="16F1B0A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[1.19, 4.00]</w:t>
            </w:r>
          </w:p>
        </w:tc>
        <w:tc>
          <w:tcPr>
            <w:tcW w:w="1600" w:type="dxa"/>
            <w:tcBorders>
              <w:top w:val="nil"/>
              <w:left w:val="nil"/>
              <w:bottom w:val="nil"/>
              <w:right w:val="nil"/>
            </w:tcBorders>
            <w:tcMar>
              <w:top w:w="60" w:type="dxa"/>
              <w:left w:w="100" w:type="dxa"/>
              <w:bottom w:w="60" w:type="dxa"/>
              <w:right w:w="100" w:type="dxa"/>
            </w:tcMar>
            <w:vAlign w:val="center"/>
            <w:hideMark/>
          </w:tcPr>
          <w:p w14:paraId="5113E03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0.012*</w:t>
            </w:r>
          </w:p>
        </w:tc>
      </w:tr>
      <w:tr w:rsidR="001A2889" w:rsidRPr="001A2889" w14:paraId="4C3E1B53" w14:textId="77777777">
        <w:tc>
          <w:tcPr>
            <w:tcW w:w="3960" w:type="dxa"/>
            <w:tcBorders>
              <w:top w:val="nil"/>
              <w:left w:val="nil"/>
              <w:bottom w:val="nil"/>
              <w:right w:val="nil"/>
            </w:tcBorders>
            <w:tcMar>
              <w:top w:w="60" w:type="dxa"/>
              <w:left w:w="100" w:type="dxa"/>
              <w:bottom w:w="60" w:type="dxa"/>
              <w:right w:w="100" w:type="dxa"/>
            </w:tcMar>
            <w:vAlign w:val="center"/>
            <w:hideMark/>
          </w:tcPr>
          <w:p w14:paraId="6DE0147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18+ years (vs. 2–4 years)</w:t>
            </w:r>
          </w:p>
        </w:tc>
        <w:tc>
          <w:tcPr>
            <w:tcW w:w="1400" w:type="dxa"/>
            <w:tcBorders>
              <w:top w:val="nil"/>
              <w:left w:val="nil"/>
              <w:bottom w:val="nil"/>
              <w:right w:val="nil"/>
            </w:tcBorders>
            <w:tcMar>
              <w:top w:w="60" w:type="dxa"/>
              <w:left w:w="100" w:type="dxa"/>
              <w:bottom w:w="60" w:type="dxa"/>
              <w:right w:w="100" w:type="dxa"/>
            </w:tcMar>
            <w:vAlign w:val="center"/>
            <w:hideMark/>
          </w:tcPr>
          <w:p w14:paraId="487EDD5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0.66</w:t>
            </w:r>
          </w:p>
        </w:tc>
        <w:tc>
          <w:tcPr>
            <w:tcW w:w="2400" w:type="dxa"/>
            <w:tcBorders>
              <w:top w:val="nil"/>
              <w:left w:val="nil"/>
              <w:bottom w:val="nil"/>
              <w:right w:val="nil"/>
            </w:tcBorders>
            <w:tcMar>
              <w:top w:w="60" w:type="dxa"/>
              <w:left w:w="100" w:type="dxa"/>
              <w:bottom w:w="60" w:type="dxa"/>
              <w:right w:w="100" w:type="dxa"/>
            </w:tcMar>
            <w:vAlign w:val="center"/>
            <w:hideMark/>
          </w:tcPr>
          <w:p w14:paraId="45FF6DE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[0.14, 3.20]</w:t>
            </w:r>
          </w:p>
        </w:tc>
        <w:tc>
          <w:tcPr>
            <w:tcW w:w="1600" w:type="dxa"/>
            <w:tcBorders>
              <w:top w:val="nil"/>
              <w:left w:val="nil"/>
              <w:bottom w:val="nil"/>
              <w:right w:val="nil"/>
            </w:tcBorders>
            <w:tcMar>
              <w:top w:w="60" w:type="dxa"/>
              <w:left w:w="100" w:type="dxa"/>
              <w:bottom w:w="60" w:type="dxa"/>
              <w:right w:w="100" w:type="dxa"/>
            </w:tcMar>
            <w:vAlign w:val="center"/>
            <w:hideMark/>
          </w:tcPr>
          <w:p w14:paraId="7327784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0.602</w:t>
            </w:r>
          </w:p>
        </w:tc>
      </w:tr>
      <w:tr w:rsidR="001A2889" w:rsidRPr="001A2889" w14:paraId="65D1A83D" w14:textId="77777777">
        <w:tc>
          <w:tcPr>
            <w:tcW w:w="3960" w:type="dxa"/>
            <w:tcBorders>
              <w:top w:val="nil"/>
              <w:left w:val="nil"/>
              <w:bottom w:val="nil"/>
              <w:right w:val="nil"/>
            </w:tcBorders>
            <w:tcMar>
              <w:top w:w="60" w:type="dxa"/>
              <w:left w:w="100" w:type="dxa"/>
              <w:bottom w:w="60" w:type="dxa"/>
              <w:right w:w="100" w:type="dxa"/>
            </w:tcMar>
            <w:vAlign w:val="center"/>
            <w:hideMark/>
          </w:tcPr>
          <w:p w14:paraId="05AB2FC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5–17 years (vs. 2–4 years)</w:t>
            </w:r>
          </w:p>
        </w:tc>
        <w:tc>
          <w:tcPr>
            <w:tcW w:w="1400" w:type="dxa"/>
            <w:tcBorders>
              <w:top w:val="nil"/>
              <w:left w:val="nil"/>
              <w:bottom w:val="nil"/>
              <w:right w:val="nil"/>
            </w:tcBorders>
            <w:tcMar>
              <w:top w:w="60" w:type="dxa"/>
              <w:left w:w="100" w:type="dxa"/>
              <w:bottom w:w="60" w:type="dxa"/>
              <w:right w:w="100" w:type="dxa"/>
            </w:tcMar>
            <w:vAlign w:val="center"/>
            <w:hideMark/>
          </w:tcPr>
          <w:p w14:paraId="135472A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1.36</w:t>
            </w:r>
          </w:p>
        </w:tc>
        <w:tc>
          <w:tcPr>
            <w:tcW w:w="2400" w:type="dxa"/>
            <w:tcBorders>
              <w:top w:val="nil"/>
              <w:left w:val="nil"/>
              <w:bottom w:val="nil"/>
              <w:right w:val="nil"/>
            </w:tcBorders>
            <w:tcMar>
              <w:top w:w="60" w:type="dxa"/>
              <w:left w:w="100" w:type="dxa"/>
              <w:bottom w:w="60" w:type="dxa"/>
              <w:right w:w="100" w:type="dxa"/>
            </w:tcMar>
            <w:vAlign w:val="center"/>
            <w:hideMark/>
          </w:tcPr>
          <w:p w14:paraId="29BE711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[0.66, 2.87]</w:t>
            </w:r>
          </w:p>
        </w:tc>
        <w:tc>
          <w:tcPr>
            <w:tcW w:w="1600" w:type="dxa"/>
            <w:tcBorders>
              <w:top w:val="nil"/>
              <w:left w:val="nil"/>
              <w:bottom w:val="nil"/>
              <w:right w:val="nil"/>
            </w:tcBorders>
            <w:tcMar>
              <w:top w:w="60" w:type="dxa"/>
              <w:left w:w="100" w:type="dxa"/>
              <w:bottom w:w="60" w:type="dxa"/>
              <w:right w:w="100" w:type="dxa"/>
            </w:tcMar>
            <w:vAlign w:val="center"/>
            <w:hideMark/>
          </w:tcPr>
          <w:p w14:paraId="0A04663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0.407</w:t>
            </w:r>
          </w:p>
        </w:tc>
      </w:tr>
      <w:tr w:rsidR="001A2889" w:rsidRPr="001A2889" w14:paraId="7DED294C" w14:textId="77777777">
        <w:tc>
          <w:tcPr>
            <w:tcW w:w="3960" w:type="dxa"/>
            <w:tcBorders>
              <w:top w:val="nil"/>
              <w:left w:val="nil"/>
              <w:bottom w:val="nil"/>
              <w:right w:val="nil"/>
            </w:tcBorders>
            <w:tcMar>
              <w:top w:w="60" w:type="dxa"/>
              <w:left w:w="100" w:type="dxa"/>
              <w:bottom w:w="60" w:type="dxa"/>
              <w:right w:w="100" w:type="dxa"/>
            </w:tcMar>
            <w:vAlign w:val="center"/>
            <w:hideMark/>
          </w:tcPr>
          <w:p w14:paraId="373013B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9–23 months (vs. 2–4 years)</w:t>
            </w:r>
          </w:p>
        </w:tc>
        <w:tc>
          <w:tcPr>
            <w:tcW w:w="1400" w:type="dxa"/>
            <w:tcBorders>
              <w:top w:val="nil"/>
              <w:left w:val="nil"/>
              <w:bottom w:val="nil"/>
              <w:right w:val="nil"/>
            </w:tcBorders>
            <w:tcMar>
              <w:top w:w="60" w:type="dxa"/>
              <w:left w:w="100" w:type="dxa"/>
              <w:bottom w:w="60" w:type="dxa"/>
              <w:right w:w="100" w:type="dxa"/>
            </w:tcMar>
            <w:vAlign w:val="center"/>
            <w:hideMark/>
          </w:tcPr>
          <w:p w14:paraId="4A71080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2.18</w:t>
            </w:r>
          </w:p>
        </w:tc>
        <w:tc>
          <w:tcPr>
            <w:tcW w:w="2400" w:type="dxa"/>
            <w:tcBorders>
              <w:top w:val="nil"/>
              <w:left w:val="nil"/>
              <w:bottom w:val="nil"/>
              <w:right w:val="nil"/>
            </w:tcBorders>
            <w:tcMar>
              <w:top w:w="60" w:type="dxa"/>
              <w:left w:w="100" w:type="dxa"/>
              <w:bottom w:w="60" w:type="dxa"/>
              <w:right w:w="100" w:type="dxa"/>
            </w:tcMar>
            <w:vAlign w:val="center"/>
            <w:hideMark/>
          </w:tcPr>
          <w:p w14:paraId="6D4CF4D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[0.49, 12.14]</w:t>
            </w:r>
          </w:p>
        </w:tc>
        <w:tc>
          <w:tcPr>
            <w:tcW w:w="1600" w:type="dxa"/>
            <w:tcBorders>
              <w:top w:val="nil"/>
              <w:left w:val="nil"/>
              <w:bottom w:val="nil"/>
              <w:right w:val="nil"/>
            </w:tcBorders>
            <w:tcMar>
              <w:top w:w="60" w:type="dxa"/>
              <w:left w:w="100" w:type="dxa"/>
              <w:bottom w:w="60" w:type="dxa"/>
              <w:right w:w="100" w:type="dxa"/>
            </w:tcMar>
            <w:vAlign w:val="center"/>
            <w:hideMark/>
          </w:tcPr>
          <w:p w14:paraId="3C5AAEB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0.328</w:t>
            </w:r>
          </w:p>
        </w:tc>
      </w:tr>
      <w:tr w:rsidR="001A2889" w:rsidRPr="001A2889" w14:paraId="573F50FD" w14:textId="77777777">
        <w:tc>
          <w:tcPr>
            <w:tcW w:w="3960" w:type="dxa"/>
            <w:tcBorders>
              <w:top w:val="nil"/>
              <w:left w:val="nil"/>
              <w:bottom w:val="nil"/>
              <w:right w:val="nil"/>
            </w:tcBorders>
            <w:tcMar>
              <w:top w:w="60" w:type="dxa"/>
              <w:left w:w="100" w:type="dxa"/>
              <w:bottom w:w="60" w:type="dxa"/>
              <w:right w:w="100" w:type="dxa"/>
            </w:tcMar>
            <w:vAlign w:val="center"/>
            <w:hideMark/>
          </w:tcPr>
          <w:p w14:paraId="0E5636C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Northern region (vs. Southern)</w:t>
            </w:r>
          </w:p>
        </w:tc>
        <w:tc>
          <w:tcPr>
            <w:tcW w:w="1400" w:type="dxa"/>
            <w:tcBorders>
              <w:top w:val="nil"/>
              <w:left w:val="nil"/>
              <w:bottom w:val="nil"/>
              <w:right w:val="nil"/>
            </w:tcBorders>
            <w:tcMar>
              <w:top w:w="60" w:type="dxa"/>
              <w:left w:w="100" w:type="dxa"/>
              <w:bottom w:w="60" w:type="dxa"/>
              <w:right w:w="100" w:type="dxa"/>
            </w:tcMar>
            <w:vAlign w:val="center"/>
            <w:hideMark/>
          </w:tcPr>
          <w:p w14:paraId="1C7F648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0.06</w:t>
            </w:r>
          </w:p>
        </w:tc>
        <w:tc>
          <w:tcPr>
            <w:tcW w:w="2400" w:type="dxa"/>
            <w:tcBorders>
              <w:top w:val="nil"/>
              <w:left w:val="nil"/>
              <w:bottom w:val="nil"/>
              <w:right w:val="nil"/>
            </w:tcBorders>
            <w:tcMar>
              <w:top w:w="60" w:type="dxa"/>
              <w:left w:w="100" w:type="dxa"/>
              <w:bottom w:w="60" w:type="dxa"/>
              <w:right w:w="100" w:type="dxa"/>
            </w:tcMar>
            <w:vAlign w:val="center"/>
            <w:hideMark/>
          </w:tcPr>
          <w:p w14:paraId="5E41584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[0.01, 0.19]</w:t>
            </w:r>
          </w:p>
        </w:tc>
        <w:tc>
          <w:tcPr>
            <w:tcW w:w="1600" w:type="dxa"/>
            <w:tcBorders>
              <w:top w:val="nil"/>
              <w:left w:val="nil"/>
              <w:bottom w:val="nil"/>
              <w:right w:val="nil"/>
            </w:tcBorders>
            <w:tcMar>
              <w:top w:w="60" w:type="dxa"/>
              <w:left w:w="100" w:type="dxa"/>
              <w:bottom w:w="60" w:type="dxa"/>
              <w:right w:w="100" w:type="dxa"/>
            </w:tcMar>
            <w:vAlign w:val="center"/>
            <w:hideMark/>
          </w:tcPr>
          <w:p w14:paraId="0BE47A9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&lt; 0.001***</w:t>
            </w:r>
          </w:p>
        </w:tc>
      </w:tr>
      <w:tr w:rsidR="001A2889" w:rsidRPr="001A2889" w14:paraId="653C8F21" w14:textId="77777777">
        <w:tc>
          <w:tcPr>
            <w:tcW w:w="3960" w:type="dxa"/>
            <w:tcBorders>
              <w:top w:val="nil"/>
              <w:left w:val="nil"/>
              <w:bottom w:val="single" w:sz="4" w:space="0" w:color="000000"/>
              <w:right w:val="nil"/>
            </w:tcBorders>
            <w:tcMar>
              <w:top w:w="60" w:type="dxa"/>
              <w:left w:w="100" w:type="dxa"/>
              <w:bottom w:w="60" w:type="dxa"/>
              <w:right w:w="100" w:type="dxa"/>
            </w:tcMar>
            <w:vAlign w:val="center"/>
            <w:hideMark/>
          </w:tcPr>
          <w:p w14:paraId="3312CFD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Central region (vs. Southern)</w:t>
            </w:r>
          </w:p>
        </w:tc>
        <w:tc>
          <w:tcPr>
            <w:tcW w:w="1400" w:type="dxa"/>
            <w:tcBorders>
              <w:top w:val="nil"/>
              <w:left w:val="nil"/>
              <w:bottom w:val="single" w:sz="4" w:space="0" w:color="000000"/>
              <w:right w:val="nil"/>
            </w:tcBorders>
            <w:tcMar>
              <w:top w:w="60" w:type="dxa"/>
              <w:left w:w="100" w:type="dxa"/>
              <w:bottom w:w="60" w:type="dxa"/>
              <w:right w:w="100" w:type="dxa"/>
            </w:tcMar>
            <w:vAlign w:val="center"/>
            <w:hideMark/>
          </w:tcPr>
          <w:p w14:paraId="73BCC52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0.31</w:t>
            </w:r>
          </w:p>
        </w:tc>
        <w:tc>
          <w:tcPr>
            <w:tcW w:w="2400" w:type="dxa"/>
            <w:tcBorders>
              <w:top w:val="nil"/>
              <w:left w:val="nil"/>
              <w:bottom w:val="single" w:sz="4" w:space="0" w:color="000000"/>
              <w:right w:val="nil"/>
            </w:tcBorders>
            <w:tcMar>
              <w:top w:w="60" w:type="dxa"/>
              <w:left w:w="100" w:type="dxa"/>
              <w:bottom w:w="60" w:type="dxa"/>
              <w:right w:w="100" w:type="dxa"/>
            </w:tcMar>
            <w:vAlign w:val="center"/>
            <w:hideMark/>
          </w:tcPr>
          <w:p w14:paraId="2BE40C5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[0.14, 0.64]</w:t>
            </w:r>
          </w:p>
        </w:tc>
        <w:tc>
          <w:tcPr>
            <w:tcW w:w="1600" w:type="dxa"/>
            <w:tcBorders>
              <w:top w:val="nil"/>
              <w:left w:val="nil"/>
              <w:bottom w:val="single" w:sz="4" w:space="0" w:color="000000"/>
              <w:right w:val="nil"/>
            </w:tcBorders>
            <w:tcMar>
              <w:top w:w="60" w:type="dxa"/>
              <w:left w:w="100" w:type="dxa"/>
              <w:bottom w:w="60" w:type="dxa"/>
              <w:right w:w="100" w:type="dxa"/>
            </w:tcMar>
            <w:vAlign w:val="center"/>
            <w:hideMark/>
          </w:tcPr>
          <w:p w14:paraId="66B913E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0.002**</w:t>
            </w:r>
          </w:p>
        </w:tc>
      </w:tr>
    </w:tbl>
    <w:p w14:paraId="5F4BD082" w14:textId="77777777" w:rsidR="001A2889" w:rsidRDefault="001A2889" w:rsidP="001A2889">
      <w:pPr>
        <w:rPr>
          <w:rFonts w:ascii="Times New Roman" w:hAnsi="Times New Roman" w:cs="Times New Roman"/>
          <w:i/>
          <w:iCs/>
          <w:sz w:val="24"/>
          <w:szCs w:val="24"/>
        </w:rPr>
      </w:pPr>
      <w:r w:rsidRPr="001A2889">
        <w:rPr>
          <w:rFonts w:ascii="Times New Roman" w:hAnsi="Times New Roman" w:cs="Times New Roman"/>
          <w:i/>
          <w:iCs/>
          <w:sz w:val="24"/>
          <w:szCs w:val="24"/>
        </w:rPr>
        <w:t xml:space="preserve">Note. </w:t>
      </w:r>
      <w:r w:rsidRPr="001A2889">
        <w:rPr>
          <w:rFonts w:ascii="Times New Roman" w:hAnsi="Times New Roman" w:cs="Times New Roman"/>
          <w:sz w:val="24"/>
          <w:szCs w:val="24"/>
        </w:rPr>
        <w:t>aOR = adjusted odds ratio; CI = confidence interval. Reference groups: female; age 2–4 years; Southern region.</w:t>
      </w:r>
      <w:r w:rsidRPr="001A2889">
        <w:rPr>
          <w:rFonts w:ascii="Times New Roman" w:hAnsi="Times New Roman" w:cs="Times New Roman"/>
          <w:i/>
          <w:iCs/>
          <w:sz w:val="24"/>
          <w:szCs w:val="24"/>
        </w:rPr>
        <w:t xml:space="preserve"> * p &lt; .05. ** p &lt; .01. *** p &lt; .001.</w:t>
      </w:r>
    </w:p>
    <w:p w14:paraId="0E2F16A1" w14:textId="77777777" w:rsidR="0038502B" w:rsidRPr="001A2889" w:rsidRDefault="0038502B" w:rsidP="001A2889">
      <w:pPr>
        <w:rPr>
          <w:rFonts w:ascii="Times New Roman" w:hAnsi="Times New Roman" w:cs="Times New Roman"/>
          <w:sz w:val="24"/>
          <w:szCs w:val="24"/>
        </w:rPr>
      </w:pPr>
    </w:p>
    <w:p w14:paraId="7A8AFE2A" w14:textId="77777777" w:rsid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 xml:space="preserve">After adjusting for age group and region, male sex remained significantly associated with IgM positivity, with males just over twice as likely as females to test positive (aOR = 2.17, 95% CI: 1.19–4.00, p = .012). None of the age group comparisons reached statistical significance in the adjusted model (all p &gt; .05). Region remained the strongest predictor of IgM positivity. Cases from the Northern region had markedly lower odds of testing positive than cases from the Southern region, with the odds reduced by roughly 94% (aOR = 0.06, 95% CI: 0.01–0.19, p &lt; .001). Cases </w:t>
      </w:r>
      <w:r w:rsidRPr="001A2889">
        <w:rPr>
          <w:rFonts w:ascii="Times New Roman" w:hAnsi="Times New Roman" w:cs="Times New Roman"/>
          <w:sz w:val="24"/>
          <w:szCs w:val="24"/>
        </w:rPr>
        <w:lastRenderedPageBreak/>
        <w:t>from the Central region also had significantly lower odds of positivity than the Southern region, though the reduction was less pronounced (aOR = 0.31, 95% CI: 0.14–0.64, p = .002).</w:t>
      </w:r>
    </w:p>
    <w:p w14:paraId="33F7E2D6" w14:textId="77777777" w:rsidR="008978E2" w:rsidRPr="001A2889" w:rsidRDefault="008978E2" w:rsidP="0038502B">
      <w:pPr>
        <w:spacing w:line="480" w:lineRule="auto"/>
        <w:rPr>
          <w:rFonts w:ascii="Times New Roman" w:hAnsi="Times New Roman" w:cs="Times New Roman"/>
          <w:sz w:val="24"/>
          <w:szCs w:val="24"/>
        </w:rPr>
      </w:pPr>
    </w:p>
    <w:p w14:paraId="41458386" w14:textId="0D04D4CF" w:rsidR="001A2889" w:rsidRPr="001A2889" w:rsidRDefault="001A2889" w:rsidP="008978E2">
      <w:pPr>
        <w:pStyle w:val="Heading2"/>
      </w:pPr>
      <w:bookmarkStart w:id="81" w:name="_Toc232844544"/>
      <w:bookmarkStart w:id="82" w:name="_Toc232850329"/>
      <w:r w:rsidRPr="001A2889">
        <w:t>Distribution of Measles Seroprevalence by District</w:t>
      </w:r>
      <w:bookmarkEnd w:id="81"/>
      <w:bookmarkEnd w:id="82"/>
    </w:p>
    <w:p w14:paraId="22D385AC" w14:textId="307D0C9D" w:rsidR="001A2889" w:rsidRP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 xml:space="preserve">The third objective of the study was to describe the distribution of measles seroprevalence across districts. </w:t>
      </w:r>
      <w:r w:rsidR="008978E2">
        <w:rPr>
          <w:rFonts w:ascii="Times New Roman" w:hAnsi="Times New Roman" w:cs="Times New Roman"/>
          <w:sz w:val="24"/>
          <w:szCs w:val="24"/>
        </w:rPr>
        <w:fldChar w:fldCharType="begin"/>
      </w:r>
      <w:r w:rsidR="008978E2">
        <w:rPr>
          <w:rFonts w:ascii="Times New Roman" w:hAnsi="Times New Roman" w:cs="Times New Roman"/>
          <w:sz w:val="24"/>
          <w:szCs w:val="24"/>
        </w:rPr>
        <w:instrText xml:space="preserve"> REF _Ref232836636 \h  \* MERGEFORMAT </w:instrText>
      </w:r>
      <w:r w:rsidR="008978E2">
        <w:rPr>
          <w:rFonts w:ascii="Times New Roman" w:hAnsi="Times New Roman" w:cs="Times New Roman"/>
          <w:sz w:val="24"/>
          <w:szCs w:val="24"/>
        </w:rPr>
      </w:r>
      <w:r w:rsidR="008978E2">
        <w:rPr>
          <w:rFonts w:ascii="Times New Roman" w:hAnsi="Times New Roman" w:cs="Times New Roman"/>
          <w:sz w:val="24"/>
          <w:szCs w:val="24"/>
        </w:rPr>
        <w:fldChar w:fldCharType="separate"/>
      </w:r>
      <w:r w:rsidR="008978E2" w:rsidRPr="008978E2">
        <w:rPr>
          <w:rFonts w:ascii="Times New Roman" w:hAnsi="Times New Roman" w:cs="Times New Roman"/>
          <w:sz w:val="24"/>
          <w:szCs w:val="24"/>
        </w:rPr>
        <w:t>Table 4</w:t>
      </w:r>
      <w:r w:rsidR="008978E2">
        <w:rPr>
          <w:rFonts w:ascii="Times New Roman" w:hAnsi="Times New Roman" w:cs="Times New Roman"/>
          <w:sz w:val="24"/>
          <w:szCs w:val="24"/>
        </w:rPr>
        <w:fldChar w:fldCharType="end"/>
      </w:r>
      <w:r w:rsidR="008978E2">
        <w:rPr>
          <w:rFonts w:ascii="Times New Roman" w:hAnsi="Times New Roman" w:cs="Times New Roman"/>
          <w:sz w:val="24"/>
          <w:szCs w:val="24"/>
        </w:rPr>
        <w:t xml:space="preserve"> </w:t>
      </w:r>
      <w:r w:rsidRPr="001A2889">
        <w:rPr>
          <w:rFonts w:ascii="Times New Roman" w:hAnsi="Times New Roman" w:cs="Times New Roman"/>
          <w:sz w:val="24"/>
          <w:szCs w:val="24"/>
        </w:rPr>
        <w:t>presents seroprevalence by district, grouped by region, and Figure 4.3 presents the same data as a choropleth map of Malawi.</w:t>
      </w:r>
    </w:p>
    <w:p w14:paraId="6B436714" w14:textId="1E3E0EE1" w:rsidR="001A2889" w:rsidRPr="008978E2" w:rsidRDefault="008978E2" w:rsidP="008978E2">
      <w:pPr>
        <w:pStyle w:val="Caption"/>
        <w:rPr>
          <w:rFonts w:eastAsia="Calibri"/>
          <w:i w:val="0"/>
          <w:iCs w:val="0"/>
          <w:color w:val="auto"/>
          <w:sz w:val="24"/>
          <w:szCs w:val="24"/>
        </w:rPr>
      </w:pPr>
      <w:bookmarkStart w:id="83" w:name="_Ref232836636"/>
      <w:bookmarkStart w:id="84" w:name="_Toc232849025"/>
      <w:r w:rsidRPr="008978E2">
        <w:rPr>
          <w:rFonts w:eastAsia="Calibri"/>
          <w:i w:val="0"/>
          <w:iCs w:val="0"/>
          <w:color w:val="auto"/>
          <w:sz w:val="24"/>
          <w:szCs w:val="24"/>
        </w:rPr>
        <w:t xml:space="preserve">Table </w:t>
      </w:r>
      <w:r w:rsidRPr="008978E2">
        <w:rPr>
          <w:rFonts w:eastAsia="Calibri"/>
          <w:i w:val="0"/>
          <w:iCs w:val="0"/>
          <w:color w:val="auto"/>
          <w:sz w:val="24"/>
          <w:szCs w:val="24"/>
        </w:rPr>
        <w:fldChar w:fldCharType="begin"/>
      </w:r>
      <w:r w:rsidRPr="008978E2">
        <w:rPr>
          <w:rFonts w:eastAsia="Calibri"/>
          <w:i w:val="0"/>
          <w:iCs w:val="0"/>
          <w:color w:val="auto"/>
          <w:sz w:val="24"/>
          <w:szCs w:val="24"/>
        </w:rPr>
        <w:instrText xml:space="preserve"> SEQ Table \* ARABIC </w:instrText>
      </w:r>
      <w:r w:rsidRPr="008978E2">
        <w:rPr>
          <w:rFonts w:eastAsia="Calibri"/>
          <w:i w:val="0"/>
          <w:iCs w:val="0"/>
          <w:color w:val="auto"/>
          <w:sz w:val="24"/>
          <w:szCs w:val="24"/>
        </w:rPr>
        <w:fldChar w:fldCharType="separate"/>
      </w:r>
      <w:r w:rsidRPr="008978E2">
        <w:rPr>
          <w:rFonts w:eastAsia="Calibri"/>
          <w:i w:val="0"/>
          <w:iCs w:val="0"/>
          <w:color w:val="auto"/>
          <w:sz w:val="24"/>
          <w:szCs w:val="24"/>
        </w:rPr>
        <w:t>4</w:t>
      </w:r>
      <w:r w:rsidRPr="008978E2">
        <w:rPr>
          <w:rFonts w:eastAsia="Calibri"/>
          <w:i w:val="0"/>
          <w:iCs w:val="0"/>
          <w:color w:val="auto"/>
          <w:sz w:val="24"/>
          <w:szCs w:val="24"/>
        </w:rPr>
        <w:fldChar w:fldCharType="end"/>
      </w:r>
      <w:bookmarkEnd w:id="83"/>
      <w:r w:rsidRPr="008978E2">
        <w:rPr>
          <w:rFonts w:eastAsia="Calibri"/>
          <w:i w:val="0"/>
          <w:iCs w:val="0"/>
          <w:color w:val="auto"/>
          <w:sz w:val="24"/>
          <w:szCs w:val="24"/>
        </w:rPr>
        <w:t>: Measles IgM Seroprevalence by District, Malawi, April 2023–December 2024, Grouped by Region</w:t>
      </w:r>
      <w:bookmarkEnd w:id="8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60"/>
        <w:gridCol w:w="1700"/>
        <w:gridCol w:w="1700"/>
        <w:gridCol w:w="3100"/>
      </w:tblGrid>
      <w:tr w:rsidR="001A2889" w:rsidRPr="001A2889" w14:paraId="27B62692" w14:textId="77777777">
        <w:tc>
          <w:tcPr>
            <w:tcW w:w="286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13D65F9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District</w:t>
            </w:r>
          </w:p>
        </w:tc>
        <w:tc>
          <w:tcPr>
            <w:tcW w:w="170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221E822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n Tested</w:t>
            </w:r>
          </w:p>
        </w:tc>
        <w:tc>
          <w:tcPr>
            <w:tcW w:w="170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077482B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n Positive</w:t>
            </w:r>
          </w:p>
        </w:tc>
        <w:tc>
          <w:tcPr>
            <w:tcW w:w="3100" w:type="dxa"/>
            <w:tcBorders>
              <w:top w:val="single" w:sz="8" w:space="0" w:color="000000"/>
              <w:left w:val="nil"/>
              <w:bottom w:val="single" w:sz="4" w:space="0" w:color="000000"/>
              <w:right w:val="nil"/>
            </w:tcBorders>
            <w:tcMar>
              <w:top w:w="60" w:type="dxa"/>
              <w:left w:w="100" w:type="dxa"/>
              <w:bottom w:w="60" w:type="dxa"/>
              <w:right w:w="100" w:type="dxa"/>
            </w:tcMar>
            <w:vAlign w:val="center"/>
            <w:hideMark/>
          </w:tcPr>
          <w:p w14:paraId="1BC6765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Seroprevalence [95% CI]</w:t>
            </w:r>
          </w:p>
        </w:tc>
      </w:tr>
      <w:tr w:rsidR="001A2889" w:rsidRPr="001A2889" w14:paraId="336A8BEF" w14:textId="77777777">
        <w:tc>
          <w:tcPr>
            <w:tcW w:w="2860" w:type="dxa"/>
            <w:tcBorders>
              <w:top w:val="nil"/>
              <w:left w:val="nil"/>
              <w:bottom w:val="nil"/>
              <w:right w:val="nil"/>
            </w:tcBorders>
            <w:tcMar>
              <w:top w:w="60" w:type="dxa"/>
              <w:left w:w="100" w:type="dxa"/>
              <w:bottom w:w="60" w:type="dxa"/>
              <w:right w:w="100" w:type="dxa"/>
            </w:tcMar>
            <w:vAlign w:val="center"/>
            <w:hideMark/>
          </w:tcPr>
          <w:p w14:paraId="11F26F6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Northern</w:t>
            </w:r>
          </w:p>
        </w:tc>
        <w:tc>
          <w:tcPr>
            <w:tcW w:w="1700" w:type="dxa"/>
            <w:tcBorders>
              <w:top w:val="nil"/>
              <w:left w:val="nil"/>
              <w:bottom w:val="nil"/>
              <w:right w:val="nil"/>
            </w:tcBorders>
            <w:tcMar>
              <w:top w:w="60" w:type="dxa"/>
              <w:left w:w="100" w:type="dxa"/>
              <w:bottom w:w="60" w:type="dxa"/>
              <w:right w:w="100" w:type="dxa"/>
            </w:tcMar>
            <w:vAlign w:val="center"/>
          </w:tcPr>
          <w:p w14:paraId="1CA89D62" w14:textId="77777777" w:rsidR="001A2889" w:rsidRPr="001A2889" w:rsidRDefault="001A2889" w:rsidP="001A2889">
            <w:pPr>
              <w:rPr>
                <w:rFonts w:ascii="Times New Roman" w:hAnsi="Times New Roman" w:cs="Times New Roman"/>
                <w:sz w:val="24"/>
                <w:szCs w:val="24"/>
              </w:rPr>
            </w:pPr>
          </w:p>
        </w:tc>
        <w:tc>
          <w:tcPr>
            <w:tcW w:w="1700" w:type="dxa"/>
            <w:tcBorders>
              <w:top w:val="nil"/>
              <w:left w:val="nil"/>
              <w:bottom w:val="nil"/>
              <w:right w:val="nil"/>
            </w:tcBorders>
            <w:tcMar>
              <w:top w:w="60" w:type="dxa"/>
              <w:left w:w="100" w:type="dxa"/>
              <w:bottom w:w="60" w:type="dxa"/>
              <w:right w:w="100" w:type="dxa"/>
            </w:tcMar>
            <w:vAlign w:val="center"/>
          </w:tcPr>
          <w:p w14:paraId="0BAA7FB6" w14:textId="77777777" w:rsidR="001A2889" w:rsidRPr="001A2889" w:rsidRDefault="001A2889" w:rsidP="001A2889">
            <w:pPr>
              <w:rPr>
                <w:rFonts w:ascii="Times New Roman" w:hAnsi="Times New Roman" w:cs="Times New Roman"/>
                <w:sz w:val="24"/>
                <w:szCs w:val="24"/>
              </w:rPr>
            </w:pPr>
          </w:p>
        </w:tc>
        <w:tc>
          <w:tcPr>
            <w:tcW w:w="3100" w:type="dxa"/>
            <w:tcBorders>
              <w:top w:val="nil"/>
              <w:left w:val="nil"/>
              <w:bottom w:val="nil"/>
              <w:right w:val="nil"/>
            </w:tcBorders>
            <w:tcMar>
              <w:top w:w="60" w:type="dxa"/>
              <w:left w:w="100" w:type="dxa"/>
              <w:bottom w:w="60" w:type="dxa"/>
              <w:right w:w="100" w:type="dxa"/>
            </w:tcMar>
            <w:vAlign w:val="center"/>
          </w:tcPr>
          <w:p w14:paraId="26F22B0E" w14:textId="77777777" w:rsidR="001A2889" w:rsidRPr="001A2889" w:rsidRDefault="001A2889" w:rsidP="001A2889">
            <w:pPr>
              <w:rPr>
                <w:rFonts w:ascii="Times New Roman" w:hAnsi="Times New Roman" w:cs="Times New Roman"/>
                <w:sz w:val="24"/>
                <w:szCs w:val="24"/>
              </w:rPr>
            </w:pPr>
          </w:p>
        </w:tc>
      </w:tr>
      <w:tr w:rsidR="001A2889" w:rsidRPr="001A2889" w14:paraId="765030F9" w14:textId="77777777">
        <w:tc>
          <w:tcPr>
            <w:tcW w:w="2860" w:type="dxa"/>
            <w:tcBorders>
              <w:top w:val="nil"/>
              <w:left w:val="nil"/>
              <w:bottom w:val="nil"/>
              <w:right w:val="nil"/>
            </w:tcBorders>
            <w:tcMar>
              <w:top w:w="60" w:type="dxa"/>
              <w:left w:w="100" w:type="dxa"/>
              <w:bottom w:w="60" w:type="dxa"/>
              <w:right w:w="100" w:type="dxa"/>
            </w:tcMar>
            <w:vAlign w:val="center"/>
            <w:hideMark/>
          </w:tcPr>
          <w:p w14:paraId="19870D1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Chitipa</w:t>
            </w:r>
          </w:p>
        </w:tc>
        <w:tc>
          <w:tcPr>
            <w:tcW w:w="1700" w:type="dxa"/>
            <w:tcBorders>
              <w:top w:val="nil"/>
              <w:left w:val="nil"/>
              <w:bottom w:val="nil"/>
              <w:right w:val="nil"/>
            </w:tcBorders>
            <w:tcMar>
              <w:top w:w="60" w:type="dxa"/>
              <w:left w:w="100" w:type="dxa"/>
              <w:bottom w:w="60" w:type="dxa"/>
              <w:right w:w="100" w:type="dxa"/>
            </w:tcMar>
            <w:vAlign w:val="center"/>
            <w:hideMark/>
          </w:tcPr>
          <w:p w14:paraId="6D0F01B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6</w:t>
            </w:r>
          </w:p>
        </w:tc>
        <w:tc>
          <w:tcPr>
            <w:tcW w:w="1700" w:type="dxa"/>
            <w:tcBorders>
              <w:top w:val="nil"/>
              <w:left w:val="nil"/>
              <w:bottom w:val="nil"/>
              <w:right w:val="nil"/>
            </w:tcBorders>
            <w:tcMar>
              <w:top w:w="60" w:type="dxa"/>
              <w:left w:w="100" w:type="dxa"/>
              <w:bottom w:w="60" w:type="dxa"/>
              <w:right w:w="100" w:type="dxa"/>
            </w:tcMar>
            <w:vAlign w:val="center"/>
            <w:hideMark/>
          </w:tcPr>
          <w:p w14:paraId="73C12D0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6</w:t>
            </w:r>
          </w:p>
        </w:tc>
        <w:tc>
          <w:tcPr>
            <w:tcW w:w="3100" w:type="dxa"/>
            <w:tcBorders>
              <w:top w:val="nil"/>
              <w:left w:val="nil"/>
              <w:bottom w:val="nil"/>
              <w:right w:val="nil"/>
            </w:tcBorders>
            <w:tcMar>
              <w:top w:w="60" w:type="dxa"/>
              <w:left w:w="100" w:type="dxa"/>
              <w:bottom w:w="60" w:type="dxa"/>
              <w:right w:w="100" w:type="dxa"/>
            </w:tcMar>
            <w:vAlign w:val="center"/>
            <w:hideMark/>
          </w:tcPr>
          <w:p w14:paraId="54E87EA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100.0% [61.0, 100.0]</w:t>
            </w:r>
          </w:p>
        </w:tc>
      </w:tr>
      <w:tr w:rsidR="001A2889" w:rsidRPr="001A2889" w14:paraId="28CE98C2" w14:textId="77777777">
        <w:tc>
          <w:tcPr>
            <w:tcW w:w="2860" w:type="dxa"/>
            <w:tcBorders>
              <w:top w:val="nil"/>
              <w:left w:val="nil"/>
              <w:bottom w:val="nil"/>
              <w:right w:val="nil"/>
            </w:tcBorders>
            <w:tcMar>
              <w:top w:w="60" w:type="dxa"/>
              <w:left w:w="100" w:type="dxa"/>
              <w:bottom w:w="60" w:type="dxa"/>
              <w:right w:w="100" w:type="dxa"/>
            </w:tcMar>
            <w:vAlign w:val="center"/>
            <w:hideMark/>
          </w:tcPr>
          <w:p w14:paraId="7D73ABE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Likoma</w:t>
            </w:r>
          </w:p>
        </w:tc>
        <w:tc>
          <w:tcPr>
            <w:tcW w:w="1700" w:type="dxa"/>
            <w:tcBorders>
              <w:top w:val="nil"/>
              <w:left w:val="nil"/>
              <w:bottom w:val="nil"/>
              <w:right w:val="nil"/>
            </w:tcBorders>
            <w:tcMar>
              <w:top w:w="60" w:type="dxa"/>
              <w:left w:w="100" w:type="dxa"/>
              <w:bottom w:w="60" w:type="dxa"/>
              <w:right w:w="100" w:type="dxa"/>
            </w:tcMar>
            <w:vAlign w:val="center"/>
            <w:hideMark/>
          </w:tcPr>
          <w:p w14:paraId="5996A90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w:t>
            </w:r>
          </w:p>
        </w:tc>
        <w:tc>
          <w:tcPr>
            <w:tcW w:w="1700" w:type="dxa"/>
            <w:tcBorders>
              <w:top w:val="nil"/>
              <w:left w:val="nil"/>
              <w:bottom w:val="nil"/>
              <w:right w:val="nil"/>
            </w:tcBorders>
            <w:tcMar>
              <w:top w:w="60" w:type="dxa"/>
              <w:left w:w="100" w:type="dxa"/>
              <w:bottom w:w="60" w:type="dxa"/>
              <w:right w:w="100" w:type="dxa"/>
            </w:tcMar>
            <w:vAlign w:val="center"/>
            <w:hideMark/>
          </w:tcPr>
          <w:p w14:paraId="03DFC2A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w:t>
            </w:r>
          </w:p>
        </w:tc>
        <w:tc>
          <w:tcPr>
            <w:tcW w:w="3100" w:type="dxa"/>
            <w:tcBorders>
              <w:top w:val="nil"/>
              <w:left w:val="nil"/>
              <w:bottom w:val="nil"/>
              <w:right w:val="nil"/>
            </w:tcBorders>
            <w:tcMar>
              <w:top w:w="60" w:type="dxa"/>
              <w:left w:w="100" w:type="dxa"/>
              <w:bottom w:w="60" w:type="dxa"/>
              <w:right w:w="100" w:type="dxa"/>
            </w:tcMar>
            <w:vAlign w:val="center"/>
            <w:hideMark/>
          </w:tcPr>
          <w:p w14:paraId="3A3BF26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100.0% [5.1, 100.0]ᵃ</w:t>
            </w:r>
          </w:p>
        </w:tc>
      </w:tr>
      <w:tr w:rsidR="001A2889" w:rsidRPr="001A2889" w14:paraId="3FFFF807" w14:textId="77777777">
        <w:tc>
          <w:tcPr>
            <w:tcW w:w="2860" w:type="dxa"/>
            <w:tcBorders>
              <w:top w:val="nil"/>
              <w:left w:val="nil"/>
              <w:bottom w:val="nil"/>
              <w:right w:val="nil"/>
            </w:tcBorders>
            <w:tcMar>
              <w:top w:w="60" w:type="dxa"/>
              <w:left w:w="100" w:type="dxa"/>
              <w:bottom w:w="60" w:type="dxa"/>
              <w:right w:w="100" w:type="dxa"/>
            </w:tcMar>
            <w:vAlign w:val="center"/>
            <w:hideMark/>
          </w:tcPr>
          <w:p w14:paraId="18C7075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Rumphi</w:t>
            </w:r>
          </w:p>
        </w:tc>
        <w:tc>
          <w:tcPr>
            <w:tcW w:w="1700" w:type="dxa"/>
            <w:tcBorders>
              <w:top w:val="nil"/>
              <w:left w:val="nil"/>
              <w:bottom w:val="nil"/>
              <w:right w:val="nil"/>
            </w:tcBorders>
            <w:tcMar>
              <w:top w:w="60" w:type="dxa"/>
              <w:left w:w="100" w:type="dxa"/>
              <w:bottom w:w="60" w:type="dxa"/>
              <w:right w:w="100" w:type="dxa"/>
            </w:tcMar>
            <w:vAlign w:val="center"/>
            <w:hideMark/>
          </w:tcPr>
          <w:p w14:paraId="26709B2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19</w:t>
            </w:r>
          </w:p>
        </w:tc>
        <w:tc>
          <w:tcPr>
            <w:tcW w:w="1700" w:type="dxa"/>
            <w:tcBorders>
              <w:top w:val="nil"/>
              <w:left w:val="nil"/>
              <w:bottom w:val="nil"/>
              <w:right w:val="nil"/>
            </w:tcBorders>
            <w:tcMar>
              <w:top w:w="60" w:type="dxa"/>
              <w:left w:w="100" w:type="dxa"/>
              <w:bottom w:w="60" w:type="dxa"/>
              <w:right w:w="100" w:type="dxa"/>
            </w:tcMar>
            <w:vAlign w:val="center"/>
            <w:hideMark/>
          </w:tcPr>
          <w:p w14:paraId="48FCC9C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16</w:t>
            </w:r>
          </w:p>
        </w:tc>
        <w:tc>
          <w:tcPr>
            <w:tcW w:w="3100" w:type="dxa"/>
            <w:tcBorders>
              <w:top w:val="nil"/>
              <w:left w:val="nil"/>
              <w:bottom w:val="nil"/>
              <w:right w:val="nil"/>
            </w:tcBorders>
            <w:tcMar>
              <w:top w:w="60" w:type="dxa"/>
              <w:left w:w="100" w:type="dxa"/>
              <w:bottom w:w="60" w:type="dxa"/>
              <w:right w:w="100" w:type="dxa"/>
            </w:tcMar>
            <w:vAlign w:val="center"/>
            <w:hideMark/>
          </w:tcPr>
          <w:p w14:paraId="24D5FAB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84.2% [62.4, 94.5]</w:t>
            </w:r>
          </w:p>
        </w:tc>
      </w:tr>
      <w:tr w:rsidR="001A2889" w:rsidRPr="001A2889" w14:paraId="24E00C3F" w14:textId="77777777">
        <w:tc>
          <w:tcPr>
            <w:tcW w:w="2860" w:type="dxa"/>
            <w:tcBorders>
              <w:top w:val="nil"/>
              <w:left w:val="nil"/>
              <w:bottom w:val="nil"/>
              <w:right w:val="nil"/>
            </w:tcBorders>
            <w:tcMar>
              <w:top w:w="60" w:type="dxa"/>
              <w:left w:w="100" w:type="dxa"/>
              <w:bottom w:w="60" w:type="dxa"/>
              <w:right w:w="100" w:type="dxa"/>
            </w:tcMar>
            <w:vAlign w:val="center"/>
            <w:hideMark/>
          </w:tcPr>
          <w:p w14:paraId="59DAEB3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Mzimba</w:t>
            </w:r>
          </w:p>
        </w:tc>
        <w:tc>
          <w:tcPr>
            <w:tcW w:w="1700" w:type="dxa"/>
            <w:tcBorders>
              <w:top w:val="nil"/>
              <w:left w:val="nil"/>
              <w:bottom w:val="nil"/>
              <w:right w:val="nil"/>
            </w:tcBorders>
            <w:tcMar>
              <w:top w:w="60" w:type="dxa"/>
              <w:left w:w="100" w:type="dxa"/>
              <w:bottom w:w="60" w:type="dxa"/>
              <w:right w:w="100" w:type="dxa"/>
            </w:tcMar>
            <w:vAlign w:val="center"/>
            <w:hideMark/>
          </w:tcPr>
          <w:p w14:paraId="3E7DE86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58</w:t>
            </w:r>
          </w:p>
        </w:tc>
        <w:tc>
          <w:tcPr>
            <w:tcW w:w="1700" w:type="dxa"/>
            <w:tcBorders>
              <w:top w:val="nil"/>
              <w:left w:val="nil"/>
              <w:bottom w:val="nil"/>
              <w:right w:val="nil"/>
            </w:tcBorders>
            <w:tcMar>
              <w:top w:w="60" w:type="dxa"/>
              <w:left w:w="100" w:type="dxa"/>
              <w:bottom w:w="60" w:type="dxa"/>
              <w:right w:w="100" w:type="dxa"/>
            </w:tcMar>
            <w:vAlign w:val="center"/>
            <w:hideMark/>
          </w:tcPr>
          <w:p w14:paraId="7F48BDC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45</w:t>
            </w:r>
          </w:p>
        </w:tc>
        <w:tc>
          <w:tcPr>
            <w:tcW w:w="3100" w:type="dxa"/>
            <w:tcBorders>
              <w:top w:val="nil"/>
              <w:left w:val="nil"/>
              <w:bottom w:val="nil"/>
              <w:right w:val="nil"/>
            </w:tcBorders>
            <w:tcMar>
              <w:top w:w="60" w:type="dxa"/>
              <w:left w:w="100" w:type="dxa"/>
              <w:bottom w:w="60" w:type="dxa"/>
              <w:right w:w="100" w:type="dxa"/>
            </w:tcMar>
            <w:vAlign w:val="center"/>
            <w:hideMark/>
          </w:tcPr>
          <w:p w14:paraId="24A68F9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77.6% [65.3, 86.4]</w:t>
            </w:r>
          </w:p>
        </w:tc>
      </w:tr>
      <w:tr w:rsidR="001A2889" w:rsidRPr="001A2889" w14:paraId="430040D3" w14:textId="77777777">
        <w:tc>
          <w:tcPr>
            <w:tcW w:w="2860" w:type="dxa"/>
            <w:tcBorders>
              <w:top w:val="nil"/>
              <w:left w:val="nil"/>
              <w:bottom w:val="nil"/>
              <w:right w:val="nil"/>
            </w:tcBorders>
            <w:tcMar>
              <w:top w:w="60" w:type="dxa"/>
              <w:left w:w="100" w:type="dxa"/>
              <w:bottom w:w="60" w:type="dxa"/>
              <w:right w:w="100" w:type="dxa"/>
            </w:tcMar>
            <w:vAlign w:val="center"/>
            <w:hideMark/>
          </w:tcPr>
          <w:p w14:paraId="424285A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Nkhatabay</w:t>
            </w:r>
          </w:p>
        </w:tc>
        <w:tc>
          <w:tcPr>
            <w:tcW w:w="1700" w:type="dxa"/>
            <w:tcBorders>
              <w:top w:val="nil"/>
              <w:left w:val="nil"/>
              <w:bottom w:val="nil"/>
              <w:right w:val="nil"/>
            </w:tcBorders>
            <w:tcMar>
              <w:top w:w="60" w:type="dxa"/>
              <w:left w:w="100" w:type="dxa"/>
              <w:bottom w:w="60" w:type="dxa"/>
              <w:right w:w="100" w:type="dxa"/>
            </w:tcMar>
            <w:vAlign w:val="center"/>
            <w:hideMark/>
          </w:tcPr>
          <w:p w14:paraId="0D0F584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w:t>
            </w:r>
          </w:p>
        </w:tc>
        <w:tc>
          <w:tcPr>
            <w:tcW w:w="1700" w:type="dxa"/>
            <w:tcBorders>
              <w:top w:val="nil"/>
              <w:left w:val="nil"/>
              <w:bottom w:val="nil"/>
              <w:right w:val="nil"/>
            </w:tcBorders>
            <w:tcMar>
              <w:top w:w="60" w:type="dxa"/>
              <w:left w:w="100" w:type="dxa"/>
              <w:bottom w:w="60" w:type="dxa"/>
              <w:right w:w="100" w:type="dxa"/>
            </w:tcMar>
            <w:vAlign w:val="center"/>
            <w:hideMark/>
          </w:tcPr>
          <w:p w14:paraId="20BA5D2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w:t>
            </w:r>
          </w:p>
        </w:tc>
        <w:tc>
          <w:tcPr>
            <w:tcW w:w="3100" w:type="dxa"/>
            <w:tcBorders>
              <w:top w:val="nil"/>
              <w:left w:val="nil"/>
              <w:bottom w:val="nil"/>
              <w:right w:val="nil"/>
            </w:tcBorders>
            <w:tcMar>
              <w:top w:w="60" w:type="dxa"/>
              <w:left w:w="100" w:type="dxa"/>
              <w:bottom w:w="60" w:type="dxa"/>
              <w:right w:w="100" w:type="dxa"/>
            </w:tcMar>
            <w:vAlign w:val="center"/>
            <w:hideMark/>
          </w:tcPr>
          <w:p w14:paraId="2893A3D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50.0% [2.6, 97.4]ᵃ</w:t>
            </w:r>
          </w:p>
        </w:tc>
      </w:tr>
      <w:tr w:rsidR="001A2889" w:rsidRPr="001A2889" w14:paraId="7582EFD6" w14:textId="77777777">
        <w:tc>
          <w:tcPr>
            <w:tcW w:w="2860" w:type="dxa"/>
            <w:tcBorders>
              <w:top w:val="nil"/>
              <w:left w:val="nil"/>
              <w:bottom w:val="nil"/>
              <w:right w:val="nil"/>
            </w:tcBorders>
            <w:tcMar>
              <w:top w:w="60" w:type="dxa"/>
              <w:left w:w="100" w:type="dxa"/>
              <w:bottom w:w="60" w:type="dxa"/>
              <w:right w:w="100" w:type="dxa"/>
            </w:tcMar>
            <w:vAlign w:val="center"/>
            <w:hideMark/>
          </w:tcPr>
          <w:p w14:paraId="7BC3A57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Karonga</w:t>
            </w:r>
          </w:p>
        </w:tc>
        <w:tc>
          <w:tcPr>
            <w:tcW w:w="1700" w:type="dxa"/>
            <w:tcBorders>
              <w:top w:val="nil"/>
              <w:left w:val="nil"/>
              <w:bottom w:val="nil"/>
              <w:right w:val="nil"/>
            </w:tcBorders>
            <w:tcMar>
              <w:top w:w="60" w:type="dxa"/>
              <w:left w:w="100" w:type="dxa"/>
              <w:bottom w:w="60" w:type="dxa"/>
              <w:right w:w="100" w:type="dxa"/>
            </w:tcMar>
            <w:vAlign w:val="center"/>
            <w:hideMark/>
          </w:tcPr>
          <w:p w14:paraId="1BAF6C4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29</w:t>
            </w:r>
          </w:p>
        </w:tc>
        <w:tc>
          <w:tcPr>
            <w:tcW w:w="1700" w:type="dxa"/>
            <w:tcBorders>
              <w:top w:val="nil"/>
              <w:left w:val="nil"/>
              <w:bottom w:val="nil"/>
              <w:right w:val="nil"/>
            </w:tcBorders>
            <w:tcMar>
              <w:top w:w="60" w:type="dxa"/>
              <w:left w:w="100" w:type="dxa"/>
              <w:bottom w:w="60" w:type="dxa"/>
              <w:right w:w="100" w:type="dxa"/>
            </w:tcMar>
            <w:vAlign w:val="center"/>
            <w:hideMark/>
          </w:tcPr>
          <w:p w14:paraId="33DA5D9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w:t>
            </w:r>
          </w:p>
        </w:tc>
        <w:tc>
          <w:tcPr>
            <w:tcW w:w="3100" w:type="dxa"/>
            <w:tcBorders>
              <w:top w:val="nil"/>
              <w:left w:val="nil"/>
              <w:bottom w:val="nil"/>
              <w:right w:val="nil"/>
            </w:tcBorders>
            <w:tcMar>
              <w:top w:w="60" w:type="dxa"/>
              <w:left w:w="100" w:type="dxa"/>
              <w:bottom w:w="60" w:type="dxa"/>
              <w:right w:w="100" w:type="dxa"/>
            </w:tcMar>
            <w:vAlign w:val="center"/>
            <w:hideMark/>
          </w:tcPr>
          <w:p w14:paraId="5B44B28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34.5% [19.9, 52.7]</w:t>
            </w:r>
          </w:p>
        </w:tc>
      </w:tr>
      <w:tr w:rsidR="001A2889" w:rsidRPr="001A2889" w14:paraId="180F5973" w14:textId="77777777">
        <w:tc>
          <w:tcPr>
            <w:tcW w:w="2860" w:type="dxa"/>
            <w:tcBorders>
              <w:top w:val="nil"/>
              <w:left w:val="nil"/>
              <w:bottom w:val="nil"/>
              <w:right w:val="nil"/>
            </w:tcBorders>
            <w:tcMar>
              <w:top w:w="60" w:type="dxa"/>
              <w:left w:w="100" w:type="dxa"/>
              <w:bottom w:w="60" w:type="dxa"/>
              <w:right w:w="100" w:type="dxa"/>
            </w:tcMar>
            <w:vAlign w:val="center"/>
            <w:hideMark/>
          </w:tcPr>
          <w:p w14:paraId="3B37E76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Total: Northern</w:t>
            </w:r>
          </w:p>
        </w:tc>
        <w:tc>
          <w:tcPr>
            <w:tcW w:w="1700" w:type="dxa"/>
            <w:tcBorders>
              <w:top w:val="nil"/>
              <w:left w:val="nil"/>
              <w:bottom w:val="nil"/>
              <w:right w:val="nil"/>
            </w:tcBorders>
            <w:tcMar>
              <w:top w:w="60" w:type="dxa"/>
              <w:left w:w="100" w:type="dxa"/>
              <w:bottom w:w="60" w:type="dxa"/>
              <w:right w:w="100" w:type="dxa"/>
            </w:tcMar>
            <w:vAlign w:val="center"/>
            <w:hideMark/>
          </w:tcPr>
          <w:p w14:paraId="6AB5C55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115</w:t>
            </w:r>
          </w:p>
        </w:tc>
        <w:tc>
          <w:tcPr>
            <w:tcW w:w="1700" w:type="dxa"/>
            <w:tcBorders>
              <w:top w:val="nil"/>
              <w:left w:val="nil"/>
              <w:bottom w:val="nil"/>
              <w:right w:val="nil"/>
            </w:tcBorders>
            <w:tcMar>
              <w:top w:w="60" w:type="dxa"/>
              <w:left w:w="100" w:type="dxa"/>
              <w:bottom w:w="60" w:type="dxa"/>
              <w:right w:w="100" w:type="dxa"/>
            </w:tcMar>
            <w:vAlign w:val="center"/>
            <w:hideMark/>
          </w:tcPr>
          <w:p w14:paraId="5A5F9F4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79</w:t>
            </w:r>
          </w:p>
        </w:tc>
        <w:tc>
          <w:tcPr>
            <w:tcW w:w="3100" w:type="dxa"/>
            <w:tcBorders>
              <w:top w:val="nil"/>
              <w:left w:val="nil"/>
              <w:bottom w:val="nil"/>
              <w:right w:val="nil"/>
            </w:tcBorders>
            <w:tcMar>
              <w:top w:w="60" w:type="dxa"/>
              <w:left w:w="100" w:type="dxa"/>
              <w:bottom w:w="60" w:type="dxa"/>
              <w:right w:w="100" w:type="dxa"/>
            </w:tcMar>
            <w:vAlign w:val="center"/>
            <w:hideMark/>
          </w:tcPr>
          <w:p w14:paraId="216E1B0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68.7% [59.5, 76.6]</w:t>
            </w:r>
          </w:p>
        </w:tc>
      </w:tr>
      <w:tr w:rsidR="001A2889" w:rsidRPr="001A2889" w14:paraId="55942A87" w14:textId="77777777">
        <w:tc>
          <w:tcPr>
            <w:tcW w:w="2860" w:type="dxa"/>
            <w:tcBorders>
              <w:top w:val="nil"/>
              <w:left w:val="nil"/>
              <w:bottom w:val="nil"/>
              <w:right w:val="nil"/>
            </w:tcBorders>
            <w:tcMar>
              <w:top w:w="60" w:type="dxa"/>
              <w:left w:w="100" w:type="dxa"/>
              <w:bottom w:w="60" w:type="dxa"/>
              <w:right w:w="100" w:type="dxa"/>
            </w:tcMar>
            <w:vAlign w:val="center"/>
            <w:hideMark/>
          </w:tcPr>
          <w:p w14:paraId="1FE740F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Central</w:t>
            </w:r>
          </w:p>
        </w:tc>
        <w:tc>
          <w:tcPr>
            <w:tcW w:w="1700" w:type="dxa"/>
            <w:tcBorders>
              <w:top w:val="nil"/>
              <w:left w:val="nil"/>
              <w:bottom w:val="nil"/>
              <w:right w:val="nil"/>
            </w:tcBorders>
            <w:tcMar>
              <w:top w:w="60" w:type="dxa"/>
              <w:left w:w="100" w:type="dxa"/>
              <w:bottom w:w="60" w:type="dxa"/>
              <w:right w:w="100" w:type="dxa"/>
            </w:tcMar>
            <w:vAlign w:val="center"/>
          </w:tcPr>
          <w:p w14:paraId="05B3C8FB" w14:textId="77777777" w:rsidR="001A2889" w:rsidRPr="001A2889" w:rsidRDefault="001A2889" w:rsidP="001A2889">
            <w:pPr>
              <w:rPr>
                <w:rFonts w:ascii="Times New Roman" w:hAnsi="Times New Roman" w:cs="Times New Roman"/>
                <w:sz w:val="24"/>
                <w:szCs w:val="24"/>
              </w:rPr>
            </w:pPr>
          </w:p>
        </w:tc>
        <w:tc>
          <w:tcPr>
            <w:tcW w:w="1700" w:type="dxa"/>
            <w:tcBorders>
              <w:top w:val="nil"/>
              <w:left w:val="nil"/>
              <w:bottom w:val="nil"/>
              <w:right w:val="nil"/>
            </w:tcBorders>
            <w:tcMar>
              <w:top w:w="60" w:type="dxa"/>
              <w:left w:w="100" w:type="dxa"/>
              <w:bottom w:w="60" w:type="dxa"/>
              <w:right w:w="100" w:type="dxa"/>
            </w:tcMar>
            <w:vAlign w:val="center"/>
          </w:tcPr>
          <w:p w14:paraId="5D31EDB8" w14:textId="77777777" w:rsidR="001A2889" w:rsidRPr="001A2889" w:rsidRDefault="001A2889" w:rsidP="001A2889">
            <w:pPr>
              <w:rPr>
                <w:rFonts w:ascii="Times New Roman" w:hAnsi="Times New Roman" w:cs="Times New Roman"/>
                <w:sz w:val="24"/>
                <w:szCs w:val="24"/>
              </w:rPr>
            </w:pPr>
          </w:p>
        </w:tc>
        <w:tc>
          <w:tcPr>
            <w:tcW w:w="3100" w:type="dxa"/>
            <w:tcBorders>
              <w:top w:val="nil"/>
              <w:left w:val="nil"/>
              <w:bottom w:val="nil"/>
              <w:right w:val="nil"/>
            </w:tcBorders>
            <w:tcMar>
              <w:top w:w="60" w:type="dxa"/>
              <w:left w:w="100" w:type="dxa"/>
              <w:bottom w:w="60" w:type="dxa"/>
              <w:right w:w="100" w:type="dxa"/>
            </w:tcMar>
            <w:vAlign w:val="center"/>
          </w:tcPr>
          <w:p w14:paraId="5F798FF2" w14:textId="77777777" w:rsidR="001A2889" w:rsidRPr="001A2889" w:rsidRDefault="001A2889" w:rsidP="001A2889">
            <w:pPr>
              <w:rPr>
                <w:rFonts w:ascii="Times New Roman" w:hAnsi="Times New Roman" w:cs="Times New Roman"/>
                <w:sz w:val="24"/>
                <w:szCs w:val="24"/>
              </w:rPr>
            </w:pPr>
          </w:p>
        </w:tc>
      </w:tr>
      <w:tr w:rsidR="001A2889" w:rsidRPr="001A2889" w14:paraId="01551B93" w14:textId="77777777">
        <w:tc>
          <w:tcPr>
            <w:tcW w:w="2860" w:type="dxa"/>
            <w:tcBorders>
              <w:top w:val="nil"/>
              <w:left w:val="nil"/>
              <w:bottom w:val="nil"/>
              <w:right w:val="nil"/>
            </w:tcBorders>
            <w:tcMar>
              <w:top w:w="60" w:type="dxa"/>
              <w:left w:w="100" w:type="dxa"/>
              <w:bottom w:w="60" w:type="dxa"/>
              <w:right w:w="100" w:type="dxa"/>
            </w:tcMar>
            <w:vAlign w:val="center"/>
            <w:hideMark/>
          </w:tcPr>
          <w:p w14:paraId="3030614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Ntchisi</w:t>
            </w:r>
          </w:p>
        </w:tc>
        <w:tc>
          <w:tcPr>
            <w:tcW w:w="1700" w:type="dxa"/>
            <w:tcBorders>
              <w:top w:val="nil"/>
              <w:left w:val="nil"/>
              <w:bottom w:val="nil"/>
              <w:right w:val="nil"/>
            </w:tcBorders>
            <w:tcMar>
              <w:top w:w="60" w:type="dxa"/>
              <w:left w:w="100" w:type="dxa"/>
              <w:bottom w:w="60" w:type="dxa"/>
              <w:right w:w="100" w:type="dxa"/>
            </w:tcMar>
            <w:vAlign w:val="center"/>
            <w:hideMark/>
          </w:tcPr>
          <w:p w14:paraId="4B117BC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14</w:t>
            </w:r>
          </w:p>
        </w:tc>
        <w:tc>
          <w:tcPr>
            <w:tcW w:w="1700" w:type="dxa"/>
            <w:tcBorders>
              <w:top w:val="nil"/>
              <w:left w:val="nil"/>
              <w:bottom w:val="nil"/>
              <w:right w:val="nil"/>
            </w:tcBorders>
            <w:tcMar>
              <w:top w:w="60" w:type="dxa"/>
              <w:left w:w="100" w:type="dxa"/>
              <w:bottom w:w="60" w:type="dxa"/>
              <w:right w:w="100" w:type="dxa"/>
            </w:tcMar>
            <w:vAlign w:val="center"/>
            <w:hideMark/>
          </w:tcPr>
          <w:p w14:paraId="78C71D1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13</w:t>
            </w:r>
          </w:p>
        </w:tc>
        <w:tc>
          <w:tcPr>
            <w:tcW w:w="3100" w:type="dxa"/>
            <w:tcBorders>
              <w:top w:val="nil"/>
              <w:left w:val="nil"/>
              <w:bottom w:val="nil"/>
              <w:right w:val="nil"/>
            </w:tcBorders>
            <w:tcMar>
              <w:top w:w="60" w:type="dxa"/>
              <w:left w:w="100" w:type="dxa"/>
              <w:bottom w:w="60" w:type="dxa"/>
              <w:right w:w="100" w:type="dxa"/>
            </w:tcMar>
            <w:vAlign w:val="center"/>
            <w:hideMark/>
          </w:tcPr>
          <w:p w14:paraId="09B50A3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92.9% [68.5, 99.6]</w:t>
            </w:r>
          </w:p>
        </w:tc>
      </w:tr>
      <w:tr w:rsidR="001A2889" w:rsidRPr="001A2889" w14:paraId="49588349" w14:textId="77777777">
        <w:tc>
          <w:tcPr>
            <w:tcW w:w="2860" w:type="dxa"/>
            <w:tcBorders>
              <w:top w:val="nil"/>
              <w:left w:val="nil"/>
              <w:bottom w:val="nil"/>
              <w:right w:val="nil"/>
            </w:tcBorders>
            <w:tcMar>
              <w:top w:w="60" w:type="dxa"/>
              <w:left w:w="100" w:type="dxa"/>
              <w:bottom w:w="60" w:type="dxa"/>
              <w:right w:w="100" w:type="dxa"/>
            </w:tcMar>
            <w:vAlign w:val="center"/>
            <w:hideMark/>
          </w:tcPr>
          <w:p w14:paraId="390F901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Dowa</w:t>
            </w:r>
          </w:p>
        </w:tc>
        <w:tc>
          <w:tcPr>
            <w:tcW w:w="1700" w:type="dxa"/>
            <w:tcBorders>
              <w:top w:val="nil"/>
              <w:left w:val="nil"/>
              <w:bottom w:val="nil"/>
              <w:right w:val="nil"/>
            </w:tcBorders>
            <w:tcMar>
              <w:top w:w="60" w:type="dxa"/>
              <w:left w:w="100" w:type="dxa"/>
              <w:bottom w:w="60" w:type="dxa"/>
              <w:right w:w="100" w:type="dxa"/>
            </w:tcMar>
            <w:vAlign w:val="center"/>
            <w:hideMark/>
          </w:tcPr>
          <w:p w14:paraId="2517E3A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13</w:t>
            </w:r>
          </w:p>
        </w:tc>
        <w:tc>
          <w:tcPr>
            <w:tcW w:w="1700" w:type="dxa"/>
            <w:tcBorders>
              <w:top w:val="nil"/>
              <w:left w:val="nil"/>
              <w:bottom w:val="nil"/>
              <w:right w:val="nil"/>
            </w:tcBorders>
            <w:tcMar>
              <w:top w:w="60" w:type="dxa"/>
              <w:left w:w="100" w:type="dxa"/>
              <w:bottom w:w="60" w:type="dxa"/>
              <w:right w:w="100" w:type="dxa"/>
            </w:tcMar>
            <w:vAlign w:val="center"/>
            <w:hideMark/>
          </w:tcPr>
          <w:p w14:paraId="20864BE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12</w:t>
            </w:r>
          </w:p>
        </w:tc>
        <w:tc>
          <w:tcPr>
            <w:tcW w:w="3100" w:type="dxa"/>
            <w:tcBorders>
              <w:top w:val="nil"/>
              <w:left w:val="nil"/>
              <w:bottom w:val="nil"/>
              <w:right w:val="nil"/>
            </w:tcBorders>
            <w:tcMar>
              <w:top w:w="60" w:type="dxa"/>
              <w:left w:w="100" w:type="dxa"/>
              <w:bottom w:w="60" w:type="dxa"/>
              <w:right w:w="100" w:type="dxa"/>
            </w:tcMar>
            <w:vAlign w:val="center"/>
            <w:hideMark/>
          </w:tcPr>
          <w:p w14:paraId="5B1B820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92.3% [66.7, 99.6]</w:t>
            </w:r>
          </w:p>
        </w:tc>
      </w:tr>
      <w:tr w:rsidR="001A2889" w:rsidRPr="001A2889" w14:paraId="2F9EE43C" w14:textId="77777777">
        <w:tc>
          <w:tcPr>
            <w:tcW w:w="2860" w:type="dxa"/>
            <w:tcBorders>
              <w:top w:val="nil"/>
              <w:left w:val="nil"/>
              <w:bottom w:val="nil"/>
              <w:right w:val="nil"/>
            </w:tcBorders>
            <w:tcMar>
              <w:top w:w="60" w:type="dxa"/>
              <w:left w:w="100" w:type="dxa"/>
              <w:bottom w:w="60" w:type="dxa"/>
              <w:right w:w="100" w:type="dxa"/>
            </w:tcMar>
            <w:vAlign w:val="center"/>
            <w:hideMark/>
          </w:tcPr>
          <w:p w14:paraId="63B1769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Kasungu</w:t>
            </w:r>
          </w:p>
        </w:tc>
        <w:tc>
          <w:tcPr>
            <w:tcW w:w="1700" w:type="dxa"/>
            <w:tcBorders>
              <w:top w:val="nil"/>
              <w:left w:val="nil"/>
              <w:bottom w:val="nil"/>
              <w:right w:val="nil"/>
            </w:tcBorders>
            <w:tcMar>
              <w:top w:w="60" w:type="dxa"/>
              <w:left w:w="100" w:type="dxa"/>
              <w:bottom w:w="60" w:type="dxa"/>
              <w:right w:w="100" w:type="dxa"/>
            </w:tcMar>
            <w:vAlign w:val="center"/>
            <w:hideMark/>
          </w:tcPr>
          <w:p w14:paraId="2A1E537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22</w:t>
            </w:r>
          </w:p>
        </w:tc>
        <w:tc>
          <w:tcPr>
            <w:tcW w:w="1700" w:type="dxa"/>
            <w:tcBorders>
              <w:top w:val="nil"/>
              <w:left w:val="nil"/>
              <w:bottom w:val="nil"/>
              <w:right w:val="nil"/>
            </w:tcBorders>
            <w:tcMar>
              <w:top w:w="60" w:type="dxa"/>
              <w:left w:w="100" w:type="dxa"/>
              <w:bottom w:w="60" w:type="dxa"/>
              <w:right w:w="100" w:type="dxa"/>
            </w:tcMar>
            <w:vAlign w:val="center"/>
            <w:hideMark/>
          </w:tcPr>
          <w:p w14:paraId="6875F92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19</w:t>
            </w:r>
          </w:p>
        </w:tc>
        <w:tc>
          <w:tcPr>
            <w:tcW w:w="3100" w:type="dxa"/>
            <w:tcBorders>
              <w:top w:val="nil"/>
              <w:left w:val="nil"/>
              <w:bottom w:val="nil"/>
              <w:right w:val="nil"/>
            </w:tcBorders>
            <w:tcMar>
              <w:top w:w="60" w:type="dxa"/>
              <w:left w:w="100" w:type="dxa"/>
              <w:bottom w:w="60" w:type="dxa"/>
              <w:right w:w="100" w:type="dxa"/>
            </w:tcMar>
            <w:vAlign w:val="center"/>
            <w:hideMark/>
          </w:tcPr>
          <w:p w14:paraId="10E4ABC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86.4% [66.7, 95.3]</w:t>
            </w:r>
          </w:p>
        </w:tc>
      </w:tr>
      <w:tr w:rsidR="001A2889" w:rsidRPr="001A2889" w14:paraId="017B6903" w14:textId="77777777">
        <w:tc>
          <w:tcPr>
            <w:tcW w:w="2860" w:type="dxa"/>
            <w:tcBorders>
              <w:top w:val="nil"/>
              <w:left w:val="nil"/>
              <w:bottom w:val="nil"/>
              <w:right w:val="nil"/>
            </w:tcBorders>
            <w:tcMar>
              <w:top w:w="60" w:type="dxa"/>
              <w:left w:w="100" w:type="dxa"/>
              <w:bottom w:w="60" w:type="dxa"/>
              <w:right w:w="100" w:type="dxa"/>
            </w:tcMar>
            <w:vAlign w:val="center"/>
            <w:hideMark/>
          </w:tcPr>
          <w:p w14:paraId="7DA69DB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Ntcheu</w:t>
            </w:r>
          </w:p>
        </w:tc>
        <w:tc>
          <w:tcPr>
            <w:tcW w:w="1700" w:type="dxa"/>
            <w:tcBorders>
              <w:top w:val="nil"/>
              <w:left w:val="nil"/>
              <w:bottom w:val="nil"/>
              <w:right w:val="nil"/>
            </w:tcBorders>
            <w:tcMar>
              <w:top w:w="60" w:type="dxa"/>
              <w:left w:w="100" w:type="dxa"/>
              <w:bottom w:w="60" w:type="dxa"/>
              <w:right w:w="100" w:type="dxa"/>
            </w:tcMar>
            <w:vAlign w:val="center"/>
            <w:hideMark/>
          </w:tcPr>
          <w:p w14:paraId="7BFCB5F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19</w:t>
            </w:r>
          </w:p>
        </w:tc>
        <w:tc>
          <w:tcPr>
            <w:tcW w:w="1700" w:type="dxa"/>
            <w:tcBorders>
              <w:top w:val="nil"/>
              <w:left w:val="nil"/>
              <w:bottom w:val="nil"/>
              <w:right w:val="nil"/>
            </w:tcBorders>
            <w:tcMar>
              <w:top w:w="60" w:type="dxa"/>
              <w:left w:w="100" w:type="dxa"/>
              <w:bottom w:w="60" w:type="dxa"/>
              <w:right w:w="100" w:type="dxa"/>
            </w:tcMar>
            <w:vAlign w:val="center"/>
            <w:hideMark/>
          </w:tcPr>
          <w:p w14:paraId="28DCB73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15</w:t>
            </w:r>
          </w:p>
        </w:tc>
        <w:tc>
          <w:tcPr>
            <w:tcW w:w="3100" w:type="dxa"/>
            <w:tcBorders>
              <w:top w:val="nil"/>
              <w:left w:val="nil"/>
              <w:bottom w:val="nil"/>
              <w:right w:val="nil"/>
            </w:tcBorders>
            <w:tcMar>
              <w:top w:w="60" w:type="dxa"/>
              <w:left w:w="100" w:type="dxa"/>
              <w:bottom w:w="60" w:type="dxa"/>
              <w:right w:w="100" w:type="dxa"/>
            </w:tcMar>
            <w:vAlign w:val="center"/>
            <w:hideMark/>
          </w:tcPr>
          <w:p w14:paraId="366CA82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78.9% [56.7, 91.5]</w:t>
            </w:r>
          </w:p>
        </w:tc>
      </w:tr>
      <w:tr w:rsidR="001A2889" w:rsidRPr="001A2889" w14:paraId="2767E528" w14:textId="77777777">
        <w:tc>
          <w:tcPr>
            <w:tcW w:w="2860" w:type="dxa"/>
            <w:tcBorders>
              <w:top w:val="nil"/>
              <w:left w:val="nil"/>
              <w:bottom w:val="nil"/>
              <w:right w:val="nil"/>
            </w:tcBorders>
            <w:tcMar>
              <w:top w:w="60" w:type="dxa"/>
              <w:left w:w="100" w:type="dxa"/>
              <w:bottom w:w="60" w:type="dxa"/>
              <w:right w:w="100" w:type="dxa"/>
            </w:tcMar>
            <w:vAlign w:val="center"/>
            <w:hideMark/>
          </w:tcPr>
          <w:p w14:paraId="76785C3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Mchinji</w:t>
            </w:r>
          </w:p>
        </w:tc>
        <w:tc>
          <w:tcPr>
            <w:tcW w:w="1700" w:type="dxa"/>
            <w:tcBorders>
              <w:top w:val="nil"/>
              <w:left w:val="nil"/>
              <w:bottom w:val="nil"/>
              <w:right w:val="nil"/>
            </w:tcBorders>
            <w:tcMar>
              <w:top w:w="60" w:type="dxa"/>
              <w:left w:w="100" w:type="dxa"/>
              <w:bottom w:w="60" w:type="dxa"/>
              <w:right w:w="100" w:type="dxa"/>
            </w:tcMar>
            <w:vAlign w:val="center"/>
            <w:hideMark/>
          </w:tcPr>
          <w:p w14:paraId="0275EEA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77</w:t>
            </w:r>
          </w:p>
        </w:tc>
        <w:tc>
          <w:tcPr>
            <w:tcW w:w="1700" w:type="dxa"/>
            <w:tcBorders>
              <w:top w:val="nil"/>
              <w:left w:val="nil"/>
              <w:bottom w:val="nil"/>
              <w:right w:val="nil"/>
            </w:tcBorders>
            <w:tcMar>
              <w:top w:w="60" w:type="dxa"/>
              <w:left w:w="100" w:type="dxa"/>
              <w:bottom w:w="60" w:type="dxa"/>
              <w:right w:w="100" w:type="dxa"/>
            </w:tcMar>
            <w:vAlign w:val="center"/>
            <w:hideMark/>
          </w:tcPr>
          <w:p w14:paraId="0150CDF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48</w:t>
            </w:r>
          </w:p>
        </w:tc>
        <w:tc>
          <w:tcPr>
            <w:tcW w:w="3100" w:type="dxa"/>
            <w:tcBorders>
              <w:top w:val="nil"/>
              <w:left w:val="nil"/>
              <w:bottom w:val="nil"/>
              <w:right w:val="nil"/>
            </w:tcBorders>
            <w:tcMar>
              <w:top w:w="60" w:type="dxa"/>
              <w:left w:w="100" w:type="dxa"/>
              <w:bottom w:w="60" w:type="dxa"/>
              <w:right w:w="100" w:type="dxa"/>
            </w:tcMar>
            <w:vAlign w:val="center"/>
            <w:hideMark/>
          </w:tcPr>
          <w:p w14:paraId="13FB368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62.3% [51.2, 72.3]</w:t>
            </w:r>
          </w:p>
        </w:tc>
      </w:tr>
      <w:tr w:rsidR="001A2889" w:rsidRPr="001A2889" w14:paraId="3EA580A4" w14:textId="77777777">
        <w:tc>
          <w:tcPr>
            <w:tcW w:w="2860" w:type="dxa"/>
            <w:tcBorders>
              <w:top w:val="nil"/>
              <w:left w:val="nil"/>
              <w:bottom w:val="nil"/>
              <w:right w:val="nil"/>
            </w:tcBorders>
            <w:tcMar>
              <w:top w:w="60" w:type="dxa"/>
              <w:left w:w="100" w:type="dxa"/>
              <w:bottom w:w="60" w:type="dxa"/>
              <w:right w:w="100" w:type="dxa"/>
            </w:tcMar>
            <w:vAlign w:val="center"/>
            <w:hideMark/>
          </w:tcPr>
          <w:p w14:paraId="57CEE98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lastRenderedPageBreak/>
              <w:t>Lilongwe</w:t>
            </w:r>
          </w:p>
        </w:tc>
        <w:tc>
          <w:tcPr>
            <w:tcW w:w="1700" w:type="dxa"/>
            <w:tcBorders>
              <w:top w:val="nil"/>
              <w:left w:val="nil"/>
              <w:bottom w:val="nil"/>
              <w:right w:val="nil"/>
            </w:tcBorders>
            <w:tcMar>
              <w:top w:w="60" w:type="dxa"/>
              <w:left w:w="100" w:type="dxa"/>
              <w:bottom w:w="60" w:type="dxa"/>
              <w:right w:w="100" w:type="dxa"/>
            </w:tcMar>
            <w:vAlign w:val="center"/>
            <w:hideMark/>
          </w:tcPr>
          <w:p w14:paraId="37E0F23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332</w:t>
            </w:r>
          </w:p>
        </w:tc>
        <w:tc>
          <w:tcPr>
            <w:tcW w:w="1700" w:type="dxa"/>
            <w:tcBorders>
              <w:top w:val="nil"/>
              <w:left w:val="nil"/>
              <w:bottom w:val="nil"/>
              <w:right w:val="nil"/>
            </w:tcBorders>
            <w:tcMar>
              <w:top w:w="60" w:type="dxa"/>
              <w:left w:w="100" w:type="dxa"/>
              <w:bottom w:w="60" w:type="dxa"/>
              <w:right w:w="100" w:type="dxa"/>
            </w:tcMar>
            <w:vAlign w:val="center"/>
            <w:hideMark/>
          </w:tcPr>
          <w:p w14:paraId="4BB85D6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200</w:t>
            </w:r>
          </w:p>
        </w:tc>
        <w:tc>
          <w:tcPr>
            <w:tcW w:w="3100" w:type="dxa"/>
            <w:tcBorders>
              <w:top w:val="nil"/>
              <w:left w:val="nil"/>
              <w:bottom w:val="nil"/>
              <w:right w:val="nil"/>
            </w:tcBorders>
            <w:tcMar>
              <w:top w:w="60" w:type="dxa"/>
              <w:left w:w="100" w:type="dxa"/>
              <w:bottom w:w="60" w:type="dxa"/>
              <w:right w:w="100" w:type="dxa"/>
            </w:tcMar>
            <w:vAlign w:val="center"/>
            <w:hideMark/>
          </w:tcPr>
          <w:p w14:paraId="7AE502B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60.2% [54.9, 65.4]</w:t>
            </w:r>
          </w:p>
        </w:tc>
      </w:tr>
      <w:tr w:rsidR="001A2889" w:rsidRPr="001A2889" w14:paraId="4982CB7E" w14:textId="77777777">
        <w:tc>
          <w:tcPr>
            <w:tcW w:w="2860" w:type="dxa"/>
            <w:tcBorders>
              <w:top w:val="nil"/>
              <w:left w:val="nil"/>
              <w:bottom w:val="nil"/>
              <w:right w:val="nil"/>
            </w:tcBorders>
            <w:tcMar>
              <w:top w:w="60" w:type="dxa"/>
              <w:left w:w="100" w:type="dxa"/>
              <w:bottom w:w="60" w:type="dxa"/>
              <w:right w:w="100" w:type="dxa"/>
            </w:tcMar>
            <w:vAlign w:val="center"/>
            <w:hideMark/>
          </w:tcPr>
          <w:p w14:paraId="6E44F7E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Nkhotakota</w:t>
            </w:r>
          </w:p>
        </w:tc>
        <w:tc>
          <w:tcPr>
            <w:tcW w:w="1700" w:type="dxa"/>
            <w:tcBorders>
              <w:top w:val="nil"/>
              <w:left w:val="nil"/>
              <w:bottom w:val="nil"/>
              <w:right w:val="nil"/>
            </w:tcBorders>
            <w:tcMar>
              <w:top w:w="60" w:type="dxa"/>
              <w:left w:w="100" w:type="dxa"/>
              <w:bottom w:w="60" w:type="dxa"/>
              <w:right w:w="100" w:type="dxa"/>
            </w:tcMar>
            <w:vAlign w:val="center"/>
            <w:hideMark/>
          </w:tcPr>
          <w:p w14:paraId="66E7616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33</w:t>
            </w:r>
          </w:p>
        </w:tc>
        <w:tc>
          <w:tcPr>
            <w:tcW w:w="1700" w:type="dxa"/>
            <w:tcBorders>
              <w:top w:val="nil"/>
              <w:left w:val="nil"/>
              <w:bottom w:val="nil"/>
              <w:right w:val="nil"/>
            </w:tcBorders>
            <w:tcMar>
              <w:top w:w="60" w:type="dxa"/>
              <w:left w:w="100" w:type="dxa"/>
              <w:bottom w:w="60" w:type="dxa"/>
              <w:right w:w="100" w:type="dxa"/>
            </w:tcMar>
            <w:vAlign w:val="center"/>
            <w:hideMark/>
          </w:tcPr>
          <w:p w14:paraId="5591DDB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17</w:t>
            </w:r>
          </w:p>
        </w:tc>
        <w:tc>
          <w:tcPr>
            <w:tcW w:w="3100" w:type="dxa"/>
            <w:tcBorders>
              <w:top w:val="nil"/>
              <w:left w:val="nil"/>
              <w:bottom w:val="nil"/>
              <w:right w:val="nil"/>
            </w:tcBorders>
            <w:tcMar>
              <w:top w:w="60" w:type="dxa"/>
              <w:left w:w="100" w:type="dxa"/>
              <w:bottom w:w="60" w:type="dxa"/>
              <w:right w:w="100" w:type="dxa"/>
            </w:tcMar>
            <w:vAlign w:val="center"/>
            <w:hideMark/>
          </w:tcPr>
          <w:p w14:paraId="57F412D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51.5% [35.2, 67.5]</w:t>
            </w:r>
          </w:p>
        </w:tc>
      </w:tr>
      <w:tr w:rsidR="001A2889" w:rsidRPr="001A2889" w14:paraId="3BE9F653" w14:textId="77777777">
        <w:tc>
          <w:tcPr>
            <w:tcW w:w="2860" w:type="dxa"/>
            <w:tcBorders>
              <w:top w:val="nil"/>
              <w:left w:val="nil"/>
              <w:bottom w:val="nil"/>
              <w:right w:val="nil"/>
            </w:tcBorders>
            <w:tcMar>
              <w:top w:w="60" w:type="dxa"/>
              <w:left w:w="100" w:type="dxa"/>
              <w:bottom w:w="60" w:type="dxa"/>
              <w:right w:w="100" w:type="dxa"/>
            </w:tcMar>
            <w:vAlign w:val="center"/>
            <w:hideMark/>
          </w:tcPr>
          <w:p w14:paraId="39C58C5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Dedza</w:t>
            </w:r>
          </w:p>
        </w:tc>
        <w:tc>
          <w:tcPr>
            <w:tcW w:w="1700" w:type="dxa"/>
            <w:tcBorders>
              <w:top w:val="nil"/>
              <w:left w:val="nil"/>
              <w:bottom w:val="nil"/>
              <w:right w:val="nil"/>
            </w:tcBorders>
            <w:tcMar>
              <w:top w:w="60" w:type="dxa"/>
              <w:left w:w="100" w:type="dxa"/>
              <w:bottom w:w="60" w:type="dxa"/>
              <w:right w:w="100" w:type="dxa"/>
            </w:tcMar>
            <w:vAlign w:val="center"/>
            <w:hideMark/>
          </w:tcPr>
          <w:p w14:paraId="6AA6EC0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28</w:t>
            </w:r>
          </w:p>
        </w:tc>
        <w:tc>
          <w:tcPr>
            <w:tcW w:w="1700" w:type="dxa"/>
            <w:tcBorders>
              <w:top w:val="nil"/>
              <w:left w:val="nil"/>
              <w:bottom w:val="nil"/>
              <w:right w:val="nil"/>
            </w:tcBorders>
            <w:tcMar>
              <w:top w:w="60" w:type="dxa"/>
              <w:left w:w="100" w:type="dxa"/>
              <w:bottom w:w="60" w:type="dxa"/>
              <w:right w:w="100" w:type="dxa"/>
            </w:tcMar>
            <w:vAlign w:val="center"/>
            <w:hideMark/>
          </w:tcPr>
          <w:p w14:paraId="20BAC33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13</w:t>
            </w:r>
          </w:p>
        </w:tc>
        <w:tc>
          <w:tcPr>
            <w:tcW w:w="3100" w:type="dxa"/>
            <w:tcBorders>
              <w:top w:val="nil"/>
              <w:left w:val="nil"/>
              <w:bottom w:val="nil"/>
              <w:right w:val="nil"/>
            </w:tcBorders>
            <w:tcMar>
              <w:top w:w="60" w:type="dxa"/>
              <w:left w:w="100" w:type="dxa"/>
              <w:bottom w:w="60" w:type="dxa"/>
              <w:right w:w="100" w:type="dxa"/>
            </w:tcMar>
            <w:vAlign w:val="center"/>
            <w:hideMark/>
          </w:tcPr>
          <w:p w14:paraId="37E088B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46.4% [29.5, 64.2]</w:t>
            </w:r>
          </w:p>
        </w:tc>
      </w:tr>
      <w:tr w:rsidR="001A2889" w:rsidRPr="001A2889" w14:paraId="0653B803" w14:textId="77777777">
        <w:tc>
          <w:tcPr>
            <w:tcW w:w="2860" w:type="dxa"/>
            <w:tcBorders>
              <w:top w:val="nil"/>
              <w:left w:val="nil"/>
              <w:bottom w:val="nil"/>
              <w:right w:val="nil"/>
            </w:tcBorders>
            <w:tcMar>
              <w:top w:w="60" w:type="dxa"/>
              <w:left w:w="100" w:type="dxa"/>
              <w:bottom w:w="60" w:type="dxa"/>
              <w:right w:w="100" w:type="dxa"/>
            </w:tcMar>
            <w:vAlign w:val="center"/>
            <w:hideMark/>
          </w:tcPr>
          <w:p w14:paraId="199BB52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Salima</w:t>
            </w:r>
          </w:p>
        </w:tc>
        <w:tc>
          <w:tcPr>
            <w:tcW w:w="1700" w:type="dxa"/>
            <w:tcBorders>
              <w:top w:val="nil"/>
              <w:left w:val="nil"/>
              <w:bottom w:val="nil"/>
              <w:right w:val="nil"/>
            </w:tcBorders>
            <w:tcMar>
              <w:top w:w="60" w:type="dxa"/>
              <w:left w:w="100" w:type="dxa"/>
              <w:bottom w:w="60" w:type="dxa"/>
              <w:right w:w="100" w:type="dxa"/>
            </w:tcMar>
            <w:vAlign w:val="center"/>
            <w:hideMark/>
          </w:tcPr>
          <w:p w14:paraId="0582763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w:t>
            </w:r>
          </w:p>
        </w:tc>
        <w:tc>
          <w:tcPr>
            <w:tcW w:w="1700" w:type="dxa"/>
            <w:tcBorders>
              <w:top w:val="nil"/>
              <w:left w:val="nil"/>
              <w:bottom w:val="nil"/>
              <w:right w:val="nil"/>
            </w:tcBorders>
            <w:tcMar>
              <w:top w:w="60" w:type="dxa"/>
              <w:left w:w="100" w:type="dxa"/>
              <w:bottom w:w="60" w:type="dxa"/>
              <w:right w:w="100" w:type="dxa"/>
            </w:tcMar>
            <w:vAlign w:val="center"/>
            <w:hideMark/>
          </w:tcPr>
          <w:p w14:paraId="78FCC60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w:t>
            </w:r>
          </w:p>
        </w:tc>
        <w:tc>
          <w:tcPr>
            <w:tcW w:w="3100" w:type="dxa"/>
            <w:tcBorders>
              <w:top w:val="nil"/>
              <w:left w:val="nil"/>
              <w:bottom w:val="nil"/>
              <w:right w:val="nil"/>
            </w:tcBorders>
            <w:tcMar>
              <w:top w:w="60" w:type="dxa"/>
              <w:left w:w="100" w:type="dxa"/>
              <w:bottom w:w="60" w:type="dxa"/>
              <w:right w:w="100" w:type="dxa"/>
            </w:tcMar>
            <w:vAlign w:val="center"/>
            <w:hideMark/>
          </w:tcPr>
          <w:p w14:paraId="1447174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10.0% [0.5, 40.4]</w:t>
            </w:r>
          </w:p>
        </w:tc>
      </w:tr>
      <w:tr w:rsidR="001A2889" w:rsidRPr="001A2889" w14:paraId="0664BF60" w14:textId="77777777">
        <w:tc>
          <w:tcPr>
            <w:tcW w:w="2860" w:type="dxa"/>
            <w:tcBorders>
              <w:top w:val="nil"/>
              <w:left w:val="nil"/>
              <w:bottom w:val="nil"/>
              <w:right w:val="nil"/>
            </w:tcBorders>
            <w:tcMar>
              <w:top w:w="60" w:type="dxa"/>
              <w:left w:w="100" w:type="dxa"/>
              <w:bottom w:w="60" w:type="dxa"/>
              <w:right w:w="100" w:type="dxa"/>
            </w:tcMar>
            <w:vAlign w:val="center"/>
            <w:hideMark/>
          </w:tcPr>
          <w:p w14:paraId="54C702B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Total: Central</w:t>
            </w:r>
          </w:p>
        </w:tc>
        <w:tc>
          <w:tcPr>
            <w:tcW w:w="1700" w:type="dxa"/>
            <w:tcBorders>
              <w:top w:val="nil"/>
              <w:left w:val="nil"/>
              <w:bottom w:val="nil"/>
              <w:right w:val="nil"/>
            </w:tcBorders>
            <w:tcMar>
              <w:top w:w="60" w:type="dxa"/>
              <w:left w:w="100" w:type="dxa"/>
              <w:bottom w:w="60" w:type="dxa"/>
              <w:right w:w="100" w:type="dxa"/>
            </w:tcMar>
            <w:vAlign w:val="center"/>
            <w:hideMark/>
          </w:tcPr>
          <w:p w14:paraId="71BEEB3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548</w:t>
            </w:r>
          </w:p>
        </w:tc>
        <w:tc>
          <w:tcPr>
            <w:tcW w:w="1700" w:type="dxa"/>
            <w:tcBorders>
              <w:top w:val="nil"/>
              <w:left w:val="nil"/>
              <w:bottom w:val="nil"/>
              <w:right w:val="nil"/>
            </w:tcBorders>
            <w:tcMar>
              <w:top w:w="60" w:type="dxa"/>
              <w:left w:w="100" w:type="dxa"/>
              <w:bottom w:w="60" w:type="dxa"/>
              <w:right w:w="100" w:type="dxa"/>
            </w:tcMar>
            <w:vAlign w:val="center"/>
            <w:hideMark/>
          </w:tcPr>
          <w:p w14:paraId="445339B5"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338</w:t>
            </w:r>
          </w:p>
        </w:tc>
        <w:tc>
          <w:tcPr>
            <w:tcW w:w="3100" w:type="dxa"/>
            <w:tcBorders>
              <w:top w:val="nil"/>
              <w:left w:val="nil"/>
              <w:bottom w:val="nil"/>
              <w:right w:val="nil"/>
            </w:tcBorders>
            <w:tcMar>
              <w:top w:w="60" w:type="dxa"/>
              <w:left w:w="100" w:type="dxa"/>
              <w:bottom w:w="60" w:type="dxa"/>
              <w:right w:w="100" w:type="dxa"/>
            </w:tcMar>
            <w:vAlign w:val="center"/>
            <w:hideMark/>
          </w:tcPr>
          <w:p w14:paraId="47D9B79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61.7% [57.5, 65.7]</w:t>
            </w:r>
          </w:p>
        </w:tc>
      </w:tr>
      <w:tr w:rsidR="001A2889" w:rsidRPr="001A2889" w14:paraId="14A2A7A1" w14:textId="77777777">
        <w:tc>
          <w:tcPr>
            <w:tcW w:w="2860" w:type="dxa"/>
            <w:tcBorders>
              <w:top w:val="nil"/>
              <w:left w:val="nil"/>
              <w:bottom w:val="nil"/>
              <w:right w:val="nil"/>
            </w:tcBorders>
            <w:tcMar>
              <w:top w:w="60" w:type="dxa"/>
              <w:left w:w="100" w:type="dxa"/>
              <w:bottom w:w="60" w:type="dxa"/>
              <w:right w:w="100" w:type="dxa"/>
            </w:tcMar>
            <w:vAlign w:val="center"/>
            <w:hideMark/>
          </w:tcPr>
          <w:p w14:paraId="620E7D1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Southern</w:t>
            </w:r>
          </w:p>
        </w:tc>
        <w:tc>
          <w:tcPr>
            <w:tcW w:w="1700" w:type="dxa"/>
            <w:tcBorders>
              <w:top w:val="nil"/>
              <w:left w:val="nil"/>
              <w:bottom w:val="nil"/>
              <w:right w:val="nil"/>
            </w:tcBorders>
            <w:tcMar>
              <w:top w:w="60" w:type="dxa"/>
              <w:left w:w="100" w:type="dxa"/>
              <w:bottom w:w="60" w:type="dxa"/>
              <w:right w:w="100" w:type="dxa"/>
            </w:tcMar>
            <w:vAlign w:val="center"/>
          </w:tcPr>
          <w:p w14:paraId="60E1FCE6" w14:textId="77777777" w:rsidR="001A2889" w:rsidRPr="001A2889" w:rsidRDefault="001A2889" w:rsidP="001A2889">
            <w:pPr>
              <w:rPr>
                <w:rFonts w:ascii="Times New Roman" w:hAnsi="Times New Roman" w:cs="Times New Roman"/>
                <w:sz w:val="24"/>
                <w:szCs w:val="24"/>
              </w:rPr>
            </w:pPr>
          </w:p>
        </w:tc>
        <w:tc>
          <w:tcPr>
            <w:tcW w:w="1700" w:type="dxa"/>
            <w:tcBorders>
              <w:top w:val="nil"/>
              <w:left w:val="nil"/>
              <w:bottom w:val="nil"/>
              <w:right w:val="nil"/>
            </w:tcBorders>
            <w:tcMar>
              <w:top w:w="60" w:type="dxa"/>
              <w:left w:w="100" w:type="dxa"/>
              <w:bottom w:w="60" w:type="dxa"/>
              <w:right w:w="100" w:type="dxa"/>
            </w:tcMar>
            <w:vAlign w:val="center"/>
          </w:tcPr>
          <w:p w14:paraId="58AFF512" w14:textId="77777777" w:rsidR="001A2889" w:rsidRPr="001A2889" w:rsidRDefault="001A2889" w:rsidP="001A2889">
            <w:pPr>
              <w:rPr>
                <w:rFonts w:ascii="Times New Roman" w:hAnsi="Times New Roman" w:cs="Times New Roman"/>
                <w:sz w:val="24"/>
                <w:szCs w:val="24"/>
              </w:rPr>
            </w:pPr>
          </w:p>
        </w:tc>
        <w:tc>
          <w:tcPr>
            <w:tcW w:w="3100" w:type="dxa"/>
            <w:tcBorders>
              <w:top w:val="nil"/>
              <w:left w:val="nil"/>
              <w:bottom w:val="nil"/>
              <w:right w:val="nil"/>
            </w:tcBorders>
            <w:tcMar>
              <w:top w:w="60" w:type="dxa"/>
              <w:left w:w="100" w:type="dxa"/>
              <w:bottom w:w="60" w:type="dxa"/>
              <w:right w:w="100" w:type="dxa"/>
            </w:tcMar>
            <w:vAlign w:val="center"/>
          </w:tcPr>
          <w:p w14:paraId="7159947E" w14:textId="77777777" w:rsidR="001A2889" w:rsidRPr="001A2889" w:rsidRDefault="001A2889" w:rsidP="001A2889">
            <w:pPr>
              <w:rPr>
                <w:rFonts w:ascii="Times New Roman" w:hAnsi="Times New Roman" w:cs="Times New Roman"/>
                <w:sz w:val="24"/>
                <w:szCs w:val="24"/>
              </w:rPr>
            </w:pPr>
          </w:p>
        </w:tc>
      </w:tr>
      <w:tr w:rsidR="001A2889" w:rsidRPr="001A2889" w14:paraId="7329CCC2" w14:textId="77777777">
        <w:tc>
          <w:tcPr>
            <w:tcW w:w="2860" w:type="dxa"/>
            <w:tcBorders>
              <w:top w:val="nil"/>
              <w:left w:val="nil"/>
              <w:bottom w:val="nil"/>
              <w:right w:val="nil"/>
            </w:tcBorders>
            <w:tcMar>
              <w:top w:w="60" w:type="dxa"/>
              <w:left w:w="100" w:type="dxa"/>
              <w:bottom w:w="60" w:type="dxa"/>
              <w:right w:w="100" w:type="dxa"/>
            </w:tcMar>
            <w:vAlign w:val="center"/>
            <w:hideMark/>
          </w:tcPr>
          <w:p w14:paraId="3F0576B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Chikwawa</w:t>
            </w:r>
          </w:p>
        </w:tc>
        <w:tc>
          <w:tcPr>
            <w:tcW w:w="1700" w:type="dxa"/>
            <w:tcBorders>
              <w:top w:val="nil"/>
              <w:left w:val="nil"/>
              <w:bottom w:val="nil"/>
              <w:right w:val="nil"/>
            </w:tcBorders>
            <w:tcMar>
              <w:top w:w="60" w:type="dxa"/>
              <w:left w:w="100" w:type="dxa"/>
              <w:bottom w:w="60" w:type="dxa"/>
              <w:right w:w="100" w:type="dxa"/>
            </w:tcMar>
            <w:vAlign w:val="center"/>
            <w:hideMark/>
          </w:tcPr>
          <w:p w14:paraId="4FA869A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w:t>
            </w:r>
          </w:p>
        </w:tc>
        <w:tc>
          <w:tcPr>
            <w:tcW w:w="1700" w:type="dxa"/>
            <w:tcBorders>
              <w:top w:val="nil"/>
              <w:left w:val="nil"/>
              <w:bottom w:val="nil"/>
              <w:right w:val="nil"/>
            </w:tcBorders>
            <w:tcMar>
              <w:top w:w="60" w:type="dxa"/>
              <w:left w:w="100" w:type="dxa"/>
              <w:bottom w:w="60" w:type="dxa"/>
              <w:right w:w="100" w:type="dxa"/>
            </w:tcMar>
            <w:vAlign w:val="center"/>
            <w:hideMark/>
          </w:tcPr>
          <w:p w14:paraId="0AE917D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w:t>
            </w:r>
          </w:p>
        </w:tc>
        <w:tc>
          <w:tcPr>
            <w:tcW w:w="3100" w:type="dxa"/>
            <w:tcBorders>
              <w:top w:val="nil"/>
              <w:left w:val="nil"/>
              <w:bottom w:val="nil"/>
              <w:right w:val="nil"/>
            </w:tcBorders>
            <w:tcMar>
              <w:top w:w="60" w:type="dxa"/>
              <w:left w:w="100" w:type="dxa"/>
              <w:bottom w:w="60" w:type="dxa"/>
              <w:right w:w="100" w:type="dxa"/>
            </w:tcMar>
            <w:vAlign w:val="center"/>
            <w:hideMark/>
          </w:tcPr>
          <w:p w14:paraId="2B44381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100.0% [34.2, 100.0]ᵃ</w:t>
            </w:r>
          </w:p>
        </w:tc>
      </w:tr>
      <w:tr w:rsidR="001A2889" w:rsidRPr="001A2889" w14:paraId="7B9B1EFC" w14:textId="77777777">
        <w:tc>
          <w:tcPr>
            <w:tcW w:w="2860" w:type="dxa"/>
            <w:tcBorders>
              <w:top w:val="nil"/>
              <w:left w:val="nil"/>
              <w:bottom w:val="nil"/>
              <w:right w:val="nil"/>
            </w:tcBorders>
            <w:tcMar>
              <w:top w:w="60" w:type="dxa"/>
              <w:left w:w="100" w:type="dxa"/>
              <w:bottom w:w="60" w:type="dxa"/>
              <w:right w:w="100" w:type="dxa"/>
            </w:tcMar>
            <w:vAlign w:val="center"/>
            <w:hideMark/>
          </w:tcPr>
          <w:p w14:paraId="25A123F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Mulanje</w:t>
            </w:r>
          </w:p>
        </w:tc>
        <w:tc>
          <w:tcPr>
            <w:tcW w:w="1700" w:type="dxa"/>
            <w:tcBorders>
              <w:top w:val="nil"/>
              <w:left w:val="nil"/>
              <w:bottom w:val="nil"/>
              <w:right w:val="nil"/>
            </w:tcBorders>
            <w:tcMar>
              <w:top w:w="60" w:type="dxa"/>
              <w:left w:w="100" w:type="dxa"/>
              <w:bottom w:w="60" w:type="dxa"/>
              <w:right w:w="100" w:type="dxa"/>
            </w:tcMar>
            <w:vAlign w:val="center"/>
            <w:hideMark/>
          </w:tcPr>
          <w:p w14:paraId="31ED8D6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w:t>
            </w:r>
          </w:p>
        </w:tc>
        <w:tc>
          <w:tcPr>
            <w:tcW w:w="1700" w:type="dxa"/>
            <w:tcBorders>
              <w:top w:val="nil"/>
              <w:left w:val="nil"/>
              <w:bottom w:val="nil"/>
              <w:right w:val="nil"/>
            </w:tcBorders>
            <w:tcMar>
              <w:top w:w="60" w:type="dxa"/>
              <w:left w:w="100" w:type="dxa"/>
              <w:bottom w:w="60" w:type="dxa"/>
              <w:right w:w="100" w:type="dxa"/>
            </w:tcMar>
            <w:vAlign w:val="center"/>
            <w:hideMark/>
          </w:tcPr>
          <w:p w14:paraId="0155832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w:t>
            </w:r>
          </w:p>
        </w:tc>
        <w:tc>
          <w:tcPr>
            <w:tcW w:w="3100" w:type="dxa"/>
            <w:tcBorders>
              <w:top w:val="nil"/>
              <w:left w:val="nil"/>
              <w:bottom w:val="nil"/>
              <w:right w:val="nil"/>
            </w:tcBorders>
            <w:tcMar>
              <w:top w:w="60" w:type="dxa"/>
              <w:left w:w="100" w:type="dxa"/>
              <w:bottom w:w="60" w:type="dxa"/>
              <w:right w:w="100" w:type="dxa"/>
            </w:tcMar>
            <w:vAlign w:val="center"/>
            <w:hideMark/>
          </w:tcPr>
          <w:p w14:paraId="4894480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100.0% [56.6, 100.0]</w:t>
            </w:r>
          </w:p>
        </w:tc>
      </w:tr>
      <w:tr w:rsidR="001A2889" w:rsidRPr="001A2889" w14:paraId="71E2AED9" w14:textId="77777777">
        <w:tc>
          <w:tcPr>
            <w:tcW w:w="2860" w:type="dxa"/>
            <w:tcBorders>
              <w:top w:val="nil"/>
              <w:left w:val="nil"/>
              <w:bottom w:val="nil"/>
              <w:right w:val="nil"/>
            </w:tcBorders>
            <w:tcMar>
              <w:top w:w="60" w:type="dxa"/>
              <w:left w:w="100" w:type="dxa"/>
              <w:bottom w:w="60" w:type="dxa"/>
              <w:right w:w="100" w:type="dxa"/>
            </w:tcMar>
            <w:vAlign w:val="center"/>
            <w:hideMark/>
          </w:tcPr>
          <w:p w14:paraId="09009FF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Nsanje</w:t>
            </w:r>
          </w:p>
        </w:tc>
        <w:tc>
          <w:tcPr>
            <w:tcW w:w="1700" w:type="dxa"/>
            <w:tcBorders>
              <w:top w:val="nil"/>
              <w:left w:val="nil"/>
              <w:bottom w:val="nil"/>
              <w:right w:val="nil"/>
            </w:tcBorders>
            <w:tcMar>
              <w:top w:w="60" w:type="dxa"/>
              <w:left w:w="100" w:type="dxa"/>
              <w:bottom w:w="60" w:type="dxa"/>
              <w:right w:w="100" w:type="dxa"/>
            </w:tcMar>
            <w:vAlign w:val="center"/>
            <w:hideMark/>
          </w:tcPr>
          <w:p w14:paraId="78046D5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w:t>
            </w:r>
          </w:p>
        </w:tc>
        <w:tc>
          <w:tcPr>
            <w:tcW w:w="1700" w:type="dxa"/>
            <w:tcBorders>
              <w:top w:val="nil"/>
              <w:left w:val="nil"/>
              <w:bottom w:val="nil"/>
              <w:right w:val="nil"/>
            </w:tcBorders>
            <w:tcMar>
              <w:top w:w="60" w:type="dxa"/>
              <w:left w:w="100" w:type="dxa"/>
              <w:bottom w:w="60" w:type="dxa"/>
              <w:right w:w="100" w:type="dxa"/>
            </w:tcMar>
            <w:vAlign w:val="center"/>
            <w:hideMark/>
          </w:tcPr>
          <w:p w14:paraId="5CE464F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w:t>
            </w:r>
          </w:p>
        </w:tc>
        <w:tc>
          <w:tcPr>
            <w:tcW w:w="3100" w:type="dxa"/>
            <w:tcBorders>
              <w:top w:val="nil"/>
              <w:left w:val="nil"/>
              <w:bottom w:val="nil"/>
              <w:right w:val="nil"/>
            </w:tcBorders>
            <w:tcMar>
              <w:top w:w="60" w:type="dxa"/>
              <w:left w:w="100" w:type="dxa"/>
              <w:bottom w:w="60" w:type="dxa"/>
              <w:right w:w="100" w:type="dxa"/>
            </w:tcMar>
            <w:vAlign w:val="center"/>
            <w:hideMark/>
          </w:tcPr>
          <w:p w14:paraId="410181F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100.0% [43.9, 100.0]ᵃ</w:t>
            </w:r>
          </w:p>
        </w:tc>
      </w:tr>
      <w:tr w:rsidR="001A2889" w:rsidRPr="001A2889" w14:paraId="737765A8" w14:textId="77777777">
        <w:tc>
          <w:tcPr>
            <w:tcW w:w="2860" w:type="dxa"/>
            <w:tcBorders>
              <w:top w:val="nil"/>
              <w:left w:val="nil"/>
              <w:bottom w:val="nil"/>
              <w:right w:val="nil"/>
            </w:tcBorders>
            <w:tcMar>
              <w:top w:w="60" w:type="dxa"/>
              <w:left w:w="100" w:type="dxa"/>
              <w:bottom w:w="60" w:type="dxa"/>
              <w:right w:w="100" w:type="dxa"/>
            </w:tcMar>
            <w:vAlign w:val="center"/>
            <w:hideMark/>
          </w:tcPr>
          <w:p w14:paraId="205AB2C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Phalombe</w:t>
            </w:r>
          </w:p>
        </w:tc>
        <w:tc>
          <w:tcPr>
            <w:tcW w:w="1700" w:type="dxa"/>
            <w:tcBorders>
              <w:top w:val="nil"/>
              <w:left w:val="nil"/>
              <w:bottom w:val="nil"/>
              <w:right w:val="nil"/>
            </w:tcBorders>
            <w:tcMar>
              <w:top w:w="60" w:type="dxa"/>
              <w:left w:w="100" w:type="dxa"/>
              <w:bottom w:w="60" w:type="dxa"/>
              <w:right w:w="100" w:type="dxa"/>
            </w:tcMar>
            <w:vAlign w:val="center"/>
            <w:hideMark/>
          </w:tcPr>
          <w:p w14:paraId="5289E83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w:t>
            </w:r>
          </w:p>
        </w:tc>
        <w:tc>
          <w:tcPr>
            <w:tcW w:w="1700" w:type="dxa"/>
            <w:tcBorders>
              <w:top w:val="nil"/>
              <w:left w:val="nil"/>
              <w:bottom w:val="nil"/>
              <w:right w:val="nil"/>
            </w:tcBorders>
            <w:tcMar>
              <w:top w:w="60" w:type="dxa"/>
              <w:left w:w="100" w:type="dxa"/>
              <w:bottom w:w="60" w:type="dxa"/>
              <w:right w:w="100" w:type="dxa"/>
            </w:tcMar>
            <w:vAlign w:val="center"/>
            <w:hideMark/>
          </w:tcPr>
          <w:p w14:paraId="0F9F6BD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w:t>
            </w:r>
          </w:p>
        </w:tc>
        <w:tc>
          <w:tcPr>
            <w:tcW w:w="3100" w:type="dxa"/>
            <w:tcBorders>
              <w:top w:val="nil"/>
              <w:left w:val="nil"/>
              <w:bottom w:val="nil"/>
              <w:right w:val="nil"/>
            </w:tcBorders>
            <w:tcMar>
              <w:top w:w="60" w:type="dxa"/>
              <w:left w:w="100" w:type="dxa"/>
              <w:bottom w:w="60" w:type="dxa"/>
              <w:right w:w="100" w:type="dxa"/>
            </w:tcMar>
            <w:vAlign w:val="center"/>
            <w:hideMark/>
          </w:tcPr>
          <w:p w14:paraId="71F8DE5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100.0% [51.0, 100.0]ᵃ</w:t>
            </w:r>
          </w:p>
        </w:tc>
      </w:tr>
      <w:tr w:rsidR="001A2889" w:rsidRPr="001A2889" w14:paraId="6B150883" w14:textId="77777777">
        <w:tc>
          <w:tcPr>
            <w:tcW w:w="2860" w:type="dxa"/>
            <w:tcBorders>
              <w:top w:val="nil"/>
              <w:left w:val="nil"/>
              <w:bottom w:val="nil"/>
              <w:right w:val="nil"/>
            </w:tcBorders>
            <w:tcMar>
              <w:top w:w="60" w:type="dxa"/>
              <w:left w:w="100" w:type="dxa"/>
              <w:bottom w:w="60" w:type="dxa"/>
              <w:right w:w="100" w:type="dxa"/>
            </w:tcMar>
            <w:vAlign w:val="center"/>
            <w:hideMark/>
          </w:tcPr>
          <w:p w14:paraId="4683D02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Thyolo</w:t>
            </w:r>
          </w:p>
        </w:tc>
        <w:tc>
          <w:tcPr>
            <w:tcW w:w="1700" w:type="dxa"/>
            <w:tcBorders>
              <w:top w:val="nil"/>
              <w:left w:val="nil"/>
              <w:bottom w:val="nil"/>
              <w:right w:val="nil"/>
            </w:tcBorders>
            <w:tcMar>
              <w:top w:w="60" w:type="dxa"/>
              <w:left w:w="100" w:type="dxa"/>
              <w:bottom w:w="60" w:type="dxa"/>
              <w:right w:w="100" w:type="dxa"/>
            </w:tcMar>
            <w:vAlign w:val="center"/>
            <w:hideMark/>
          </w:tcPr>
          <w:p w14:paraId="49D50DD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38</w:t>
            </w:r>
          </w:p>
        </w:tc>
        <w:tc>
          <w:tcPr>
            <w:tcW w:w="1700" w:type="dxa"/>
            <w:tcBorders>
              <w:top w:val="nil"/>
              <w:left w:val="nil"/>
              <w:bottom w:val="nil"/>
              <w:right w:val="nil"/>
            </w:tcBorders>
            <w:tcMar>
              <w:top w:w="60" w:type="dxa"/>
              <w:left w:w="100" w:type="dxa"/>
              <w:bottom w:w="60" w:type="dxa"/>
              <w:right w:w="100" w:type="dxa"/>
            </w:tcMar>
            <w:vAlign w:val="center"/>
            <w:hideMark/>
          </w:tcPr>
          <w:p w14:paraId="0D81726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37</w:t>
            </w:r>
          </w:p>
        </w:tc>
        <w:tc>
          <w:tcPr>
            <w:tcW w:w="3100" w:type="dxa"/>
            <w:tcBorders>
              <w:top w:val="nil"/>
              <w:left w:val="nil"/>
              <w:bottom w:val="nil"/>
              <w:right w:val="nil"/>
            </w:tcBorders>
            <w:tcMar>
              <w:top w:w="60" w:type="dxa"/>
              <w:left w:w="100" w:type="dxa"/>
              <w:bottom w:w="60" w:type="dxa"/>
              <w:right w:w="100" w:type="dxa"/>
            </w:tcMar>
            <w:vAlign w:val="center"/>
            <w:hideMark/>
          </w:tcPr>
          <w:p w14:paraId="3A0EF68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97.4% [86.5, 99.9]</w:t>
            </w:r>
          </w:p>
        </w:tc>
      </w:tr>
      <w:tr w:rsidR="001A2889" w:rsidRPr="001A2889" w14:paraId="44488499" w14:textId="77777777">
        <w:tc>
          <w:tcPr>
            <w:tcW w:w="2860" w:type="dxa"/>
            <w:tcBorders>
              <w:top w:val="nil"/>
              <w:left w:val="nil"/>
              <w:bottom w:val="nil"/>
              <w:right w:val="nil"/>
            </w:tcBorders>
            <w:tcMar>
              <w:top w:w="60" w:type="dxa"/>
              <w:left w:w="100" w:type="dxa"/>
              <w:bottom w:w="60" w:type="dxa"/>
              <w:right w:w="100" w:type="dxa"/>
            </w:tcMar>
            <w:vAlign w:val="center"/>
            <w:hideMark/>
          </w:tcPr>
          <w:p w14:paraId="20F4778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Zomba</w:t>
            </w:r>
          </w:p>
        </w:tc>
        <w:tc>
          <w:tcPr>
            <w:tcW w:w="1700" w:type="dxa"/>
            <w:tcBorders>
              <w:top w:val="nil"/>
              <w:left w:val="nil"/>
              <w:bottom w:val="nil"/>
              <w:right w:val="nil"/>
            </w:tcBorders>
            <w:tcMar>
              <w:top w:w="60" w:type="dxa"/>
              <w:left w:w="100" w:type="dxa"/>
              <w:bottom w:w="60" w:type="dxa"/>
              <w:right w:w="100" w:type="dxa"/>
            </w:tcMar>
            <w:vAlign w:val="center"/>
            <w:hideMark/>
          </w:tcPr>
          <w:p w14:paraId="5D99A20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23</w:t>
            </w:r>
          </w:p>
        </w:tc>
        <w:tc>
          <w:tcPr>
            <w:tcW w:w="1700" w:type="dxa"/>
            <w:tcBorders>
              <w:top w:val="nil"/>
              <w:left w:val="nil"/>
              <w:bottom w:val="nil"/>
              <w:right w:val="nil"/>
            </w:tcBorders>
            <w:tcMar>
              <w:top w:w="60" w:type="dxa"/>
              <w:left w:w="100" w:type="dxa"/>
              <w:bottom w:w="60" w:type="dxa"/>
              <w:right w:w="100" w:type="dxa"/>
            </w:tcMar>
            <w:vAlign w:val="center"/>
            <w:hideMark/>
          </w:tcPr>
          <w:p w14:paraId="69EA8EC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21</w:t>
            </w:r>
          </w:p>
        </w:tc>
        <w:tc>
          <w:tcPr>
            <w:tcW w:w="3100" w:type="dxa"/>
            <w:tcBorders>
              <w:top w:val="nil"/>
              <w:left w:val="nil"/>
              <w:bottom w:val="nil"/>
              <w:right w:val="nil"/>
            </w:tcBorders>
            <w:tcMar>
              <w:top w:w="60" w:type="dxa"/>
              <w:left w:w="100" w:type="dxa"/>
              <w:bottom w:w="60" w:type="dxa"/>
              <w:right w:w="100" w:type="dxa"/>
            </w:tcMar>
            <w:vAlign w:val="center"/>
            <w:hideMark/>
          </w:tcPr>
          <w:p w14:paraId="66757CFB"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91.3% [73.2, 97.6]</w:t>
            </w:r>
          </w:p>
        </w:tc>
      </w:tr>
      <w:tr w:rsidR="001A2889" w:rsidRPr="001A2889" w14:paraId="592D2698" w14:textId="77777777">
        <w:tc>
          <w:tcPr>
            <w:tcW w:w="2860" w:type="dxa"/>
            <w:tcBorders>
              <w:top w:val="nil"/>
              <w:left w:val="nil"/>
              <w:bottom w:val="nil"/>
              <w:right w:val="nil"/>
            </w:tcBorders>
            <w:tcMar>
              <w:top w:w="60" w:type="dxa"/>
              <w:left w:w="100" w:type="dxa"/>
              <w:bottom w:w="60" w:type="dxa"/>
              <w:right w:w="100" w:type="dxa"/>
            </w:tcMar>
            <w:vAlign w:val="center"/>
            <w:hideMark/>
          </w:tcPr>
          <w:p w14:paraId="2D13AC2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Chiradzulu</w:t>
            </w:r>
          </w:p>
        </w:tc>
        <w:tc>
          <w:tcPr>
            <w:tcW w:w="1700" w:type="dxa"/>
            <w:tcBorders>
              <w:top w:val="nil"/>
              <w:left w:val="nil"/>
              <w:bottom w:val="nil"/>
              <w:right w:val="nil"/>
            </w:tcBorders>
            <w:tcMar>
              <w:top w:w="60" w:type="dxa"/>
              <w:left w:w="100" w:type="dxa"/>
              <w:bottom w:w="60" w:type="dxa"/>
              <w:right w:w="100" w:type="dxa"/>
            </w:tcMar>
            <w:vAlign w:val="center"/>
            <w:hideMark/>
          </w:tcPr>
          <w:p w14:paraId="66BF8A4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18</w:t>
            </w:r>
          </w:p>
        </w:tc>
        <w:tc>
          <w:tcPr>
            <w:tcW w:w="1700" w:type="dxa"/>
            <w:tcBorders>
              <w:top w:val="nil"/>
              <w:left w:val="nil"/>
              <w:bottom w:val="nil"/>
              <w:right w:val="nil"/>
            </w:tcBorders>
            <w:tcMar>
              <w:top w:w="60" w:type="dxa"/>
              <w:left w:w="100" w:type="dxa"/>
              <w:bottom w:w="60" w:type="dxa"/>
              <w:right w:w="100" w:type="dxa"/>
            </w:tcMar>
            <w:vAlign w:val="center"/>
            <w:hideMark/>
          </w:tcPr>
          <w:p w14:paraId="5D290EF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16</w:t>
            </w:r>
          </w:p>
        </w:tc>
        <w:tc>
          <w:tcPr>
            <w:tcW w:w="3100" w:type="dxa"/>
            <w:tcBorders>
              <w:top w:val="nil"/>
              <w:left w:val="nil"/>
              <w:bottom w:val="nil"/>
              <w:right w:val="nil"/>
            </w:tcBorders>
            <w:tcMar>
              <w:top w:w="60" w:type="dxa"/>
              <w:left w:w="100" w:type="dxa"/>
              <w:bottom w:w="60" w:type="dxa"/>
              <w:right w:w="100" w:type="dxa"/>
            </w:tcMar>
            <w:vAlign w:val="center"/>
            <w:hideMark/>
          </w:tcPr>
          <w:p w14:paraId="0B305B59"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88.9% [67.2, 96.9]</w:t>
            </w:r>
          </w:p>
        </w:tc>
      </w:tr>
      <w:tr w:rsidR="001A2889" w:rsidRPr="001A2889" w14:paraId="7F86076C" w14:textId="77777777">
        <w:tc>
          <w:tcPr>
            <w:tcW w:w="2860" w:type="dxa"/>
            <w:tcBorders>
              <w:top w:val="nil"/>
              <w:left w:val="nil"/>
              <w:bottom w:val="nil"/>
              <w:right w:val="nil"/>
            </w:tcBorders>
            <w:tcMar>
              <w:top w:w="60" w:type="dxa"/>
              <w:left w:w="100" w:type="dxa"/>
              <w:bottom w:w="60" w:type="dxa"/>
              <w:right w:w="100" w:type="dxa"/>
            </w:tcMar>
            <w:vAlign w:val="center"/>
            <w:hideMark/>
          </w:tcPr>
          <w:p w14:paraId="342E771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Neno</w:t>
            </w:r>
          </w:p>
        </w:tc>
        <w:tc>
          <w:tcPr>
            <w:tcW w:w="1700" w:type="dxa"/>
            <w:tcBorders>
              <w:top w:val="nil"/>
              <w:left w:val="nil"/>
              <w:bottom w:val="nil"/>
              <w:right w:val="nil"/>
            </w:tcBorders>
            <w:tcMar>
              <w:top w:w="60" w:type="dxa"/>
              <w:left w:w="100" w:type="dxa"/>
              <w:bottom w:w="60" w:type="dxa"/>
              <w:right w:w="100" w:type="dxa"/>
            </w:tcMar>
            <w:vAlign w:val="center"/>
            <w:hideMark/>
          </w:tcPr>
          <w:p w14:paraId="759AF64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29</w:t>
            </w:r>
          </w:p>
        </w:tc>
        <w:tc>
          <w:tcPr>
            <w:tcW w:w="1700" w:type="dxa"/>
            <w:tcBorders>
              <w:top w:val="nil"/>
              <w:left w:val="nil"/>
              <w:bottom w:val="nil"/>
              <w:right w:val="nil"/>
            </w:tcBorders>
            <w:tcMar>
              <w:top w:w="60" w:type="dxa"/>
              <w:left w:w="100" w:type="dxa"/>
              <w:bottom w:w="60" w:type="dxa"/>
              <w:right w:w="100" w:type="dxa"/>
            </w:tcMar>
            <w:vAlign w:val="center"/>
            <w:hideMark/>
          </w:tcPr>
          <w:p w14:paraId="54E714F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25</w:t>
            </w:r>
          </w:p>
        </w:tc>
        <w:tc>
          <w:tcPr>
            <w:tcW w:w="3100" w:type="dxa"/>
            <w:tcBorders>
              <w:top w:val="nil"/>
              <w:left w:val="nil"/>
              <w:bottom w:val="nil"/>
              <w:right w:val="nil"/>
            </w:tcBorders>
            <w:tcMar>
              <w:top w:w="60" w:type="dxa"/>
              <w:left w:w="100" w:type="dxa"/>
              <w:bottom w:w="60" w:type="dxa"/>
              <w:right w:w="100" w:type="dxa"/>
            </w:tcMar>
            <w:vAlign w:val="center"/>
            <w:hideMark/>
          </w:tcPr>
          <w:p w14:paraId="401BA49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86.2% [69.4, 94.5]</w:t>
            </w:r>
          </w:p>
        </w:tc>
      </w:tr>
      <w:tr w:rsidR="001A2889" w:rsidRPr="001A2889" w14:paraId="22CB3E13" w14:textId="77777777">
        <w:tc>
          <w:tcPr>
            <w:tcW w:w="2860" w:type="dxa"/>
            <w:tcBorders>
              <w:top w:val="nil"/>
              <w:left w:val="nil"/>
              <w:bottom w:val="nil"/>
              <w:right w:val="nil"/>
            </w:tcBorders>
            <w:tcMar>
              <w:top w:w="60" w:type="dxa"/>
              <w:left w:w="100" w:type="dxa"/>
              <w:bottom w:w="60" w:type="dxa"/>
              <w:right w:w="100" w:type="dxa"/>
            </w:tcMar>
            <w:vAlign w:val="center"/>
            <w:hideMark/>
          </w:tcPr>
          <w:p w14:paraId="53D7C0E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Blantyre</w:t>
            </w:r>
          </w:p>
        </w:tc>
        <w:tc>
          <w:tcPr>
            <w:tcW w:w="1700" w:type="dxa"/>
            <w:tcBorders>
              <w:top w:val="nil"/>
              <w:left w:val="nil"/>
              <w:bottom w:val="nil"/>
              <w:right w:val="nil"/>
            </w:tcBorders>
            <w:tcMar>
              <w:top w:w="60" w:type="dxa"/>
              <w:left w:w="100" w:type="dxa"/>
              <w:bottom w:w="60" w:type="dxa"/>
              <w:right w:w="100" w:type="dxa"/>
            </w:tcMar>
            <w:vAlign w:val="center"/>
            <w:hideMark/>
          </w:tcPr>
          <w:p w14:paraId="170F615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201</w:t>
            </w:r>
          </w:p>
        </w:tc>
        <w:tc>
          <w:tcPr>
            <w:tcW w:w="1700" w:type="dxa"/>
            <w:tcBorders>
              <w:top w:val="nil"/>
              <w:left w:val="nil"/>
              <w:bottom w:val="nil"/>
              <w:right w:val="nil"/>
            </w:tcBorders>
            <w:tcMar>
              <w:top w:w="60" w:type="dxa"/>
              <w:left w:w="100" w:type="dxa"/>
              <w:bottom w:w="60" w:type="dxa"/>
              <w:right w:w="100" w:type="dxa"/>
            </w:tcMar>
            <w:vAlign w:val="center"/>
            <w:hideMark/>
          </w:tcPr>
          <w:p w14:paraId="4415114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168</w:t>
            </w:r>
          </w:p>
        </w:tc>
        <w:tc>
          <w:tcPr>
            <w:tcW w:w="3100" w:type="dxa"/>
            <w:tcBorders>
              <w:top w:val="nil"/>
              <w:left w:val="nil"/>
              <w:bottom w:val="nil"/>
              <w:right w:val="nil"/>
            </w:tcBorders>
            <w:tcMar>
              <w:top w:w="60" w:type="dxa"/>
              <w:left w:w="100" w:type="dxa"/>
              <w:bottom w:w="60" w:type="dxa"/>
              <w:right w:w="100" w:type="dxa"/>
            </w:tcMar>
            <w:vAlign w:val="center"/>
            <w:hideMark/>
          </w:tcPr>
          <w:p w14:paraId="7744BB1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83.6% [77.8, 88.1]</w:t>
            </w:r>
          </w:p>
        </w:tc>
      </w:tr>
      <w:tr w:rsidR="001A2889" w:rsidRPr="001A2889" w14:paraId="2D6C22C9" w14:textId="77777777">
        <w:tc>
          <w:tcPr>
            <w:tcW w:w="2860" w:type="dxa"/>
            <w:tcBorders>
              <w:top w:val="nil"/>
              <w:left w:val="nil"/>
              <w:bottom w:val="nil"/>
              <w:right w:val="nil"/>
            </w:tcBorders>
            <w:tcMar>
              <w:top w:w="60" w:type="dxa"/>
              <w:left w:w="100" w:type="dxa"/>
              <w:bottom w:w="60" w:type="dxa"/>
              <w:right w:w="100" w:type="dxa"/>
            </w:tcMar>
            <w:vAlign w:val="center"/>
            <w:hideMark/>
          </w:tcPr>
          <w:p w14:paraId="6A19202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Balaka</w:t>
            </w:r>
          </w:p>
        </w:tc>
        <w:tc>
          <w:tcPr>
            <w:tcW w:w="1700" w:type="dxa"/>
            <w:tcBorders>
              <w:top w:val="nil"/>
              <w:left w:val="nil"/>
              <w:bottom w:val="nil"/>
              <w:right w:val="nil"/>
            </w:tcBorders>
            <w:tcMar>
              <w:top w:w="60" w:type="dxa"/>
              <w:left w:w="100" w:type="dxa"/>
              <w:bottom w:w="60" w:type="dxa"/>
              <w:right w:w="100" w:type="dxa"/>
            </w:tcMar>
            <w:vAlign w:val="center"/>
            <w:hideMark/>
          </w:tcPr>
          <w:p w14:paraId="60F3CD1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25</w:t>
            </w:r>
          </w:p>
        </w:tc>
        <w:tc>
          <w:tcPr>
            <w:tcW w:w="1700" w:type="dxa"/>
            <w:tcBorders>
              <w:top w:val="nil"/>
              <w:left w:val="nil"/>
              <w:bottom w:val="nil"/>
              <w:right w:val="nil"/>
            </w:tcBorders>
            <w:tcMar>
              <w:top w:w="60" w:type="dxa"/>
              <w:left w:w="100" w:type="dxa"/>
              <w:bottom w:w="60" w:type="dxa"/>
              <w:right w:w="100" w:type="dxa"/>
            </w:tcMar>
            <w:vAlign w:val="center"/>
            <w:hideMark/>
          </w:tcPr>
          <w:p w14:paraId="0410B3EC"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18</w:t>
            </w:r>
          </w:p>
        </w:tc>
        <w:tc>
          <w:tcPr>
            <w:tcW w:w="3100" w:type="dxa"/>
            <w:tcBorders>
              <w:top w:val="nil"/>
              <w:left w:val="nil"/>
              <w:bottom w:val="nil"/>
              <w:right w:val="nil"/>
            </w:tcBorders>
            <w:tcMar>
              <w:top w:w="60" w:type="dxa"/>
              <w:left w:w="100" w:type="dxa"/>
              <w:bottom w:w="60" w:type="dxa"/>
              <w:right w:w="100" w:type="dxa"/>
            </w:tcMar>
            <w:vAlign w:val="center"/>
            <w:hideMark/>
          </w:tcPr>
          <w:p w14:paraId="0FD304C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72.0% [52.4, 85.7]</w:t>
            </w:r>
          </w:p>
        </w:tc>
      </w:tr>
      <w:tr w:rsidR="001A2889" w:rsidRPr="001A2889" w14:paraId="512BDD97" w14:textId="77777777">
        <w:tc>
          <w:tcPr>
            <w:tcW w:w="2860" w:type="dxa"/>
            <w:tcBorders>
              <w:top w:val="nil"/>
              <w:left w:val="nil"/>
              <w:bottom w:val="nil"/>
              <w:right w:val="nil"/>
            </w:tcBorders>
            <w:tcMar>
              <w:top w:w="60" w:type="dxa"/>
              <w:left w:w="100" w:type="dxa"/>
              <w:bottom w:w="60" w:type="dxa"/>
              <w:right w:w="100" w:type="dxa"/>
            </w:tcMar>
            <w:vAlign w:val="center"/>
            <w:hideMark/>
          </w:tcPr>
          <w:p w14:paraId="287F4B9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Machinga</w:t>
            </w:r>
          </w:p>
        </w:tc>
        <w:tc>
          <w:tcPr>
            <w:tcW w:w="1700" w:type="dxa"/>
            <w:tcBorders>
              <w:top w:val="nil"/>
              <w:left w:val="nil"/>
              <w:bottom w:val="nil"/>
              <w:right w:val="nil"/>
            </w:tcBorders>
            <w:tcMar>
              <w:top w:w="60" w:type="dxa"/>
              <w:left w:w="100" w:type="dxa"/>
              <w:bottom w:w="60" w:type="dxa"/>
              <w:right w:w="100" w:type="dxa"/>
            </w:tcMar>
            <w:vAlign w:val="center"/>
            <w:hideMark/>
          </w:tcPr>
          <w:p w14:paraId="3683C02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17</w:t>
            </w:r>
          </w:p>
        </w:tc>
        <w:tc>
          <w:tcPr>
            <w:tcW w:w="1700" w:type="dxa"/>
            <w:tcBorders>
              <w:top w:val="nil"/>
              <w:left w:val="nil"/>
              <w:bottom w:val="nil"/>
              <w:right w:val="nil"/>
            </w:tcBorders>
            <w:tcMar>
              <w:top w:w="60" w:type="dxa"/>
              <w:left w:w="100" w:type="dxa"/>
              <w:bottom w:w="60" w:type="dxa"/>
              <w:right w:w="100" w:type="dxa"/>
            </w:tcMar>
            <w:vAlign w:val="center"/>
            <w:hideMark/>
          </w:tcPr>
          <w:p w14:paraId="776EE836"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11</w:t>
            </w:r>
          </w:p>
        </w:tc>
        <w:tc>
          <w:tcPr>
            <w:tcW w:w="3100" w:type="dxa"/>
            <w:tcBorders>
              <w:top w:val="nil"/>
              <w:left w:val="nil"/>
              <w:bottom w:val="nil"/>
              <w:right w:val="nil"/>
            </w:tcBorders>
            <w:tcMar>
              <w:top w:w="60" w:type="dxa"/>
              <w:left w:w="100" w:type="dxa"/>
              <w:bottom w:w="60" w:type="dxa"/>
              <w:right w:w="100" w:type="dxa"/>
            </w:tcMar>
            <w:vAlign w:val="center"/>
            <w:hideMark/>
          </w:tcPr>
          <w:p w14:paraId="74CF563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64.7% [41.3, 82.7]</w:t>
            </w:r>
          </w:p>
        </w:tc>
      </w:tr>
      <w:tr w:rsidR="001A2889" w:rsidRPr="001A2889" w14:paraId="76AF0A41" w14:textId="77777777">
        <w:tc>
          <w:tcPr>
            <w:tcW w:w="2860" w:type="dxa"/>
            <w:tcBorders>
              <w:top w:val="nil"/>
              <w:left w:val="nil"/>
              <w:bottom w:val="nil"/>
              <w:right w:val="nil"/>
            </w:tcBorders>
            <w:tcMar>
              <w:top w:w="60" w:type="dxa"/>
              <w:left w:w="100" w:type="dxa"/>
              <w:bottom w:w="60" w:type="dxa"/>
              <w:right w:w="100" w:type="dxa"/>
            </w:tcMar>
            <w:vAlign w:val="center"/>
            <w:hideMark/>
          </w:tcPr>
          <w:p w14:paraId="1AE0C0B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Mwanza</w:t>
            </w:r>
          </w:p>
        </w:tc>
        <w:tc>
          <w:tcPr>
            <w:tcW w:w="1700" w:type="dxa"/>
            <w:tcBorders>
              <w:top w:val="nil"/>
              <w:left w:val="nil"/>
              <w:bottom w:val="nil"/>
              <w:right w:val="nil"/>
            </w:tcBorders>
            <w:tcMar>
              <w:top w:w="60" w:type="dxa"/>
              <w:left w:w="100" w:type="dxa"/>
              <w:bottom w:w="60" w:type="dxa"/>
              <w:right w:w="100" w:type="dxa"/>
            </w:tcMar>
            <w:vAlign w:val="center"/>
            <w:hideMark/>
          </w:tcPr>
          <w:p w14:paraId="3B4D5A8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8</w:t>
            </w:r>
          </w:p>
        </w:tc>
        <w:tc>
          <w:tcPr>
            <w:tcW w:w="1700" w:type="dxa"/>
            <w:tcBorders>
              <w:top w:val="nil"/>
              <w:left w:val="nil"/>
              <w:bottom w:val="nil"/>
              <w:right w:val="nil"/>
            </w:tcBorders>
            <w:tcMar>
              <w:top w:w="60" w:type="dxa"/>
              <w:left w:w="100" w:type="dxa"/>
              <w:bottom w:w="60" w:type="dxa"/>
              <w:right w:w="100" w:type="dxa"/>
            </w:tcMar>
            <w:vAlign w:val="center"/>
            <w:hideMark/>
          </w:tcPr>
          <w:p w14:paraId="21961202"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w:t>
            </w:r>
          </w:p>
        </w:tc>
        <w:tc>
          <w:tcPr>
            <w:tcW w:w="3100" w:type="dxa"/>
            <w:tcBorders>
              <w:top w:val="nil"/>
              <w:left w:val="nil"/>
              <w:bottom w:val="nil"/>
              <w:right w:val="nil"/>
            </w:tcBorders>
            <w:tcMar>
              <w:top w:w="60" w:type="dxa"/>
              <w:left w:w="100" w:type="dxa"/>
              <w:bottom w:w="60" w:type="dxa"/>
              <w:right w:w="100" w:type="dxa"/>
            </w:tcMar>
            <w:vAlign w:val="center"/>
            <w:hideMark/>
          </w:tcPr>
          <w:p w14:paraId="153D95F8"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50.0% [21.5, 78.5]</w:t>
            </w:r>
          </w:p>
        </w:tc>
      </w:tr>
      <w:tr w:rsidR="001A2889" w:rsidRPr="001A2889" w14:paraId="7E763FFA" w14:textId="77777777">
        <w:tc>
          <w:tcPr>
            <w:tcW w:w="2860" w:type="dxa"/>
            <w:tcBorders>
              <w:top w:val="nil"/>
              <w:left w:val="nil"/>
              <w:bottom w:val="nil"/>
              <w:right w:val="nil"/>
            </w:tcBorders>
            <w:tcMar>
              <w:top w:w="60" w:type="dxa"/>
              <w:left w:w="100" w:type="dxa"/>
              <w:bottom w:w="60" w:type="dxa"/>
              <w:right w:w="100" w:type="dxa"/>
            </w:tcMar>
            <w:vAlign w:val="center"/>
            <w:hideMark/>
          </w:tcPr>
          <w:p w14:paraId="3429648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Mangochi</w:t>
            </w:r>
          </w:p>
        </w:tc>
        <w:tc>
          <w:tcPr>
            <w:tcW w:w="1700" w:type="dxa"/>
            <w:tcBorders>
              <w:top w:val="nil"/>
              <w:left w:val="nil"/>
              <w:bottom w:val="nil"/>
              <w:right w:val="nil"/>
            </w:tcBorders>
            <w:tcMar>
              <w:top w:w="60" w:type="dxa"/>
              <w:left w:w="100" w:type="dxa"/>
              <w:bottom w:w="60" w:type="dxa"/>
              <w:right w:w="100" w:type="dxa"/>
            </w:tcMar>
            <w:vAlign w:val="center"/>
            <w:hideMark/>
          </w:tcPr>
          <w:p w14:paraId="3302BE9A"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54</w:t>
            </w:r>
          </w:p>
        </w:tc>
        <w:tc>
          <w:tcPr>
            <w:tcW w:w="1700" w:type="dxa"/>
            <w:tcBorders>
              <w:top w:val="nil"/>
              <w:left w:val="nil"/>
              <w:bottom w:val="nil"/>
              <w:right w:val="nil"/>
            </w:tcBorders>
            <w:tcMar>
              <w:top w:w="60" w:type="dxa"/>
              <w:left w:w="100" w:type="dxa"/>
              <w:bottom w:w="60" w:type="dxa"/>
              <w:right w:w="100" w:type="dxa"/>
            </w:tcMar>
            <w:vAlign w:val="center"/>
            <w:hideMark/>
          </w:tcPr>
          <w:p w14:paraId="0B56E3D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25</w:t>
            </w:r>
          </w:p>
        </w:tc>
        <w:tc>
          <w:tcPr>
            <w:tcW w:w="3100" w:type="dxa"/>
            <w:tcBorders>
              <w:top w:val="nil"/>
              <w:left w:val="nil"/>
              <w:bottom w:val="nil"/>
              <w:right w:val="nil"/>
            </w:tcBorders>
            <w:tcMar>
              <w:top w:w="60" w:type="dxa"/>
              <w:left w:w="100" w:type="dxa"/>
              <w:bottom w:w="60" w:type="dxa"/>
              <w:right w:w="100" w:type="dxa"/>
            </w:tcMar>
            <w:vAlign w:val="center"/>
            <w:hideMark/>
          </w:tcPr>
          <w:p w14:paraId="1F6EF33D"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sz w:val="24"/>
                <w:szCs w:val="24"/>
              </w:rPr>
              <w:t>46.3% [33.7, 59.4]</w:t>
            </w:r>
          </w:p>
        </w:tc>
      </w:tr>
      <w:tr w:rsidR="001A2889" w:rsidRPr="001A2889" w14:paraId="420EA37A" w14:textId="77777777">
        <w:tc>
          <w:tcPr>
            <w:tcW w:w="2860" w:type="dxa"/>
            <w:tcBorders>
              <w:top w:val="nil"/>
              <w:left w:val="nil"/>
              <w:bottom w:val="nil"/>
              <w:right w:val="nil"/>
            </w:tcBorders>
            <w:tcMar>
              <w:top w:w="60" w:type="dxa"/>
              <w:left w:w="100" w:type="dxa"/>
              <w:bottom w:w="60" w:type="dxa"/>
              <w:right w:w="100" w:type="dxa"/>
            </w:tcMar>
            <w:vAlign w:val="center"/>
            <w:hideMark/>
          </w:tcPr>
          <w:p w14:paraId="19814B5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Total: Southern</w:t>
            </w:r>
          </w:p>
        </w:tc>
        <w:tc>
          <w:tcPr>
            <w:tcW w:w="1700" w:type="dxa"/>
            <w:tcBorders>
              <w:top w:val="nil"/>
              <w:left w:val="nil"/>
              <w:bottom w:val="nil"/>
              <w:right w:val="nil"/>
            </w:tcBorders>
            <w:tcMar>
              <w:top w:w="60" w:type="dxa"/>
              <w:left w:w="100" w:type="dxa"/>
              <w:bottom w:w="60" w:type="dxa"/>
              <w:right w:w="100" w:type="dxa"/>
            </w:tcMar>
            <w:vAlign w:val="center"/>
            <w:hideMark/>
          </w:tcPr>
          <w:p w14:paraId="1034034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427</w:t>
            </w:r>
          </w:p>
        </w:tc>
        <w:tc>
          <w:tcPr>
            <w:tcW w:w="1700" w:type="dxa"/>
            <w:tcBorders>
              <w:top w:val="nil"/>
              <w:left w:val="nil"/>
              <w:bottom w:val="nil"/>
              <w:right w:val="nil"/>
            </w:tcBorders>
            <w:tcMar>
              <w:top w:w="60" w:type="dxa"/>
              <w:left w:w="100" w:type="dxa"/>
              <w:bottom w:w="60" w:type="dxa"/>
              <w:right w:w="100" w:type="dxa"/>
            </w:tcMar>
            <w:vAlign w:val="center"/>
            <w:hideMark/>
          </w:tcPr>
          <w:p w14:paraId="366E76E3"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339</w:t>
            </w:r>
          </w:p>
        </w:tc>
        <w:tc>
          <w:tcPr>
            <w:tcW w:w="3100" w:type="dxa"/>
            <w:tcBorders>
              <w:top w:val="nil"/>
              <w:left w:val="nil"/>
              <w:bottom w:val="nil"/>
              <w:right w:val="nil"/>
            </w:tcBorders>
            <w:tcMar>
              <w:top w:w="60" w:type="dxa"/>
              <w:left w:w="100" w:type="dxa"/>
              <w:bottom w:w="60" w:type="dxa"/>
              <w:right w:w="100" w:type="dxa"/>
            </w:tcMar>
            <w:vAlign w:val="center"/>
            <w:hideMark/>
          </w:tcPr>
          <w:p w14:paraId="46D3AFDE"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79.4% [75.3, 83.0]</w:t>
            </w:r>
          </w:p>
        </w:tc>
      </w:tr>
      <w:tr w:rsidR="001A2889" w:rsidRPr="001A2889" w14:paraId="4C913239" w14:textId="77777777">
        <w:tc>
          <w:tcPr>
            <w:tcW w:w="2860" w:type="dxa"/>
            <w:tcBorders>
              <w:top w:val="nil"/>
              <w:left w:val="nil"/>
              <w:bottom w:val="single" w:sz="4" w:space="0" w:color="000000"/>
              <w:right w:val="nil"/>
            </w:tcBorders>
            <w:tcMar>
              <w:top w:w="60" w:type="dxa"/>
              <w:left w:w="100" w:type="dxa"/>
              <w:bottom w:w="60" w:type="dxa"/>
              <w:right w:w="100" w:type="dxa"/>
            </w:tcMar>
            <w:vAlign w:val="center"/>
            <w:hideMark/>
          </w:tcPr>
          <w:p w14:paraId="46A25244"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Grand Total</w:t>
            </w:r>
          </w:p>
        </w:tc>
        <w:tc>
          <w:tcPr>
            <w:tcW w:w="1700" w:type="dxa"/>
            <w:tcBorders>
              <w:top w:val="nil"/>
              <w:left w:val="nil"/>
              <w:bottom w:val="single" w:sz="4" w:space="0" w:color="000000"/>
              <w:right w:val="nil"/>
            </w:tcBorders>
            <w:tcMar>
              <w:top w:w="60" w:type="dxa"/>
              <w:left w:w="100" w:type="dxa"/>
              <w:bottom w:w="60" w:type="dxa"/>
              <w:right w:w="100" w:type="dxa"/>
            </w:tcMar>
            <w:vAlign w:val="center"/>
            <w:hideMark/>
          </w:tcPr>
          <w:p w14:paraId="5C3AD777"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1,191</w:t>
            </w:r>
          </w:p>
        </w:tc>
        <w:tc>
          <w:tcPr>
            <w:tcW w:w="1700" w:type="dxa"/>
            <w:tcBorders>
              <w:top w:val="nil"/>
              <w:left w:val="nil"/>
              <w:bottom w:val="single" w:sz="4" w:space="0" w:color="000000"/>
              <w:right w:val="nil"/>
            </w:tcBorders>
            <w:tcMar>
              <w:top w:w="60" w:type="dxa"/>
              <w:left w:w="100" w:type="dxa"/>
              <w:bottom w:w="60" w:type="dxa"/>
              <w:right w:w="100" w:type="dxa"/>
            </w:tcMar>
            <w:vAlign w:val="center"/>
            <w:hideMark/>
          </w:tcPr>
          <w:p w14:paraId="5868C520"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835</w:t>
            </w:r>
          </w:p>
        </w:tc>
        <w:tc>
          <w:tcPr>
            <w:tcW w:w="3100" w:type="dxa"/>
            <w:tcBorders>
              <w:top w:val="nil"/>
              <w:left w:val="nil"/>
              <w:bottom w:val="single" w:sz="4" w:space="0" w:color="000000"/>
              <w:right w:val="nil"/>
            </w:tcBorders>
            <w:tcMar>
              <w:top w:w="60" w:type="dxa"/>
              <w:left w:w="100" w:type="dxa"/>
              <w:bottom w:w="60" w:type="dxa"/>
              <w:right w:w="100" w:type="dxa"/>
            </w:tcMar>
            <w:vAlign w:val="center"/>
            <w:hideMark/>
          </w:tcPr>
          <w:p w14:paraId="465F2EBF"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b/>
                <w:bCs/>
                <w:sz w:val="24"/>
                <w:szCs w:val="24"/>
              </w:rPr>
              <w:t>70.1% [67.4, 72.6]</w:t>
            </w:r>
          </w:p>
        </w:tc>
      </w:tr>
    </w:tbl>
    <w:p w14:paraId="79409091" w14:textId="77777777" w:rsidR="001A2889" w:rsidRPr="001A2889" w:rsidRDefault="001A2889" w:rsidP="001A2889">
      <w:pPr>
        <w:rPr>
          <w:rFonts w:ascii="Times New Roman" w:hAnsi="Times New Roman" w:cs="Times New Roman"/>
          <w:sz w:val="24"/>
          <w:szCs w:val="24"/>
        </w:rPr>
      </w:pPr>
      <w:r w:rsidRPr="001A2889">
        <w:rPr>
          <w:rFonts w:ascii="Times New Roman" w:hAnsi="Times New Roman" w:cs="Times New Roman"/>
          <w:i/>
          <w:iCs/>
          <w:sz w:val="24"/>
          <w:szCs w:val="24"/>
        </w:rPr>
        <w:t xml:space="preserve">Note. </w:t>
      </w:r>
      <w:r w:rsidRPr="001A2889">
        <w:rPr>
          <w:rFonts w:ascii="Times New Roman" w:hAnsi="Times New Roman" w:cs="Times New Roman"/>
          <w:sz w:val="24"/>
          <w:szCs w:val="24"/>
        </w:rPr>
        <w:t>Grand total N = 1,191. CI = confidence interval.</w:t>
      </w:r>
      <w:r w:rsidRPr="001A2889">
        <w:rPr>
          <w:rFonts w:ascii="Times New Roman" w:hAnsi="Times New Roman" w:cs="Times New Roman"/>
          <w:i/>
          <w:iCs/>
          <w:sz w:val="24"/>
          <w:szCs w:val="24"/>
        </w:rPr>
        <w:t xml:space="preserve"> ᵃ Districts with fewer than 5 samples</w:t>
      </w:r>
    </w:p>
    <w:p w14:paraId="3CF6FF0A" w14:textId="77777777" w:rsidR="001A2889" w:rsidRPr="001A2889" w:rsidRDefault="001A2889" w:rsidP="001A2889">
      <w:pPr>
        <w:rPr>
          <w:rFonts w:ascii="Times New Roman" w:hAnsi="Times New Roman" w:cs="Times New Roman"/>
          <w:sz w:val="24"/>
          <w:szCs w:val="24"/>
        </w:rPr>
      </w:pPr>
    </w:p>
    <w:p w14:paraId="6AA2FFEB" w14:textId="77777777" w:rsidR="001A2889" w:rsidRPr="001A2889" w:rsidRDefault="001A2889" w:rsidP="0038502B">
      <w:pPr>
        <w:spacing w:line="480" w:lineRule="auto"/>
        <w:rPr>
          <w:rFonts w:ascii="Times New Roman" w:hAnsi="Times New Roman" w:cs="Times New Roman"/>
          <w:sz w:val="24"/>
          <w:szCs w:val="24"/>
        </w:rPr>
      </w:pPr>
      <w:r w:rsidRPr="001A2889">
        <w:rPr>
          <w:rFonts w:ascii="Times New Roman" w:hAnsi="Times New Roman" w:cs="Times New Roman"/>
          <w:sz w:val="24"/>
          <w:szCs w:val="24"/>
        </w:rPr>
        <w:t xml:space="preserve">Seroprevalence varied considerably across the 28 districts with available data, ranging from 10.0% in Salima (n = 1 of 10 tested) to 100.0% in six districts, namely Chitipa, Likoma, Mulanje, </w:t>
      </w:r>
      <w:r w:rsidRPr="001A2889">
        <w:rPr>
          <w:rFonts w:ascii="Times New Roman" w:hAnsi="Times New Roman" w:cs="Times New Roman"/>
          <w:sz w:val="24"/>
          <w:szCs w:val="24"/>
        </w:rPr>
        <w:lastRenderedPageBreak/>
        <w:t>Chikwawa, Nsanje, and Phalombe, each of which tested fewer than seven cases. At regional level, the Southern region recorded the highest seroprevalence (79.4%, 95% CI: 75.3–83.0), followed by the Northern region (68.7%, 95% CI: 59.5–76.6), while the Central region, despite contributing the largest number of tested cases (n = 548), recorded the lowest regional seroprevalence (61.7%, 95% CI: 57.5–65.7). Within the Central region, Salima stood out as a marked outlier, recording the lowest district-level seroprevalence in the entire dataset despite neighbouring districts such as Ntchisi (92.9%) and Dowa (92.3%) recording among the highest.</w:t>
      </w:r>
    </w:p>
    <w:p w14:paraId="0A40B9AF" w14:textId="06CC2134" w:rsidR="001A2889" w:rsidRDefault="008978E2" w:rsidP="0038502B">
      <w:pPr>
        <w:spacing w:line="48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_Ref232836793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8978E2">
        <w:rPr>
          <w:rFonts w:ascii="Times New Roman" w:hAnsi="Times New Roman" w:cs="Times New Roman"/>
          <w:sz w:val="24"/>
          <w:szCs w:val="24"/>
        </w:rPr>
        <w:t>Figure 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A2889" w:rsidRPr="001A2889">
        <w:rPr>
          <w:rFonts w:ascii="Times New Roman" w:hAnsi="Times New Roman" w:cs="Times New Roman"/>
          <w:sz w:val="24"/>
          <w:szCs w:val="24"/>
        </w:rPr>
        <w:t xml:space="preserve"> presents the geographic pattern of seroprevalence across all districts.</w:t>
      </w:r>
    </w:p>
    <w:p w14:paraId="0BABF381" w14:textId="77777777" w:rsidR="0038502B" w:rsidRPr="001A2889" w:rsidRDefault="0038502B" w:rsidP="001A2889">
      <w:pPr>
        <w:rPr>
          <w:rFonts w:ascii="Times New Roman" w:hAnsi="Times New Roman" w:cs="Times New Roman"/>
          <w:sz w:val="24"/>
          <w:szCs w:val="24"/>
        </w:rPr>
      </w:pPr>
    </w:p>
    <w:p w14:paraId="702023D8" w14:textId="37F87702" w:rsidR="001A2889" w:rsidRPr="001A2889" w:rsidRDefault="001A2889" w:rsidP="001A2889">
      <w:pPr>
        <w:rPr>
          <w:rFonts w:ascii="Times New Roman" w:hAnsi="Times New Roman" w:cs="Times New Roman"/>
          <w:b/>
          <w:bCs/>
          <w:sz w:val="24"/>
          <w:szCs w:val="24"/>
        </w:rPr>
      </w:pPr>
      <w:r w:rsidRPr="001A2889">
        <w:rPr>
          <w:rFonts w:ascii="Times New Roman" w:hAnsi="Times New Roman" w:cs="Times New Roman"/>
          <w:noProof/>
          <w:sz w:val="24"/>
          <w:szCs w:val="24"/>
        </w:rPr>
        <w:drawing>
          <wp:inline distT="0" distB="0" distL="0" distR="0" wp14:anchorId="598EB9FF" wp14:editId="2F1AF367">
            <wp:extent cx="5943600" cy="4953000"/>
            <wp:effectExtent l="0" t="0" r="0" b="0"/>
            <wp:docPr id="3342017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953000"/>
                    </a:xfrm>
                    <a:prstGeom prst="rect">
                      <a:avLst/>
                    </a:prstGeom>
                    <a:noFill/>
                    <a:ln>
                      <a:noFill/>
                    </a:ln>
                  </pic:spPr>
                </pic:pic>
              </a:graphicData>
            </a:graphic>
          </wp:inline>
        </w:drawing>
      </w:r>
    </w:p>
    <w:p w14:paraId="1C0C1B4B" w14:textId="52D70423" w:rsidR="001A2889" w:rsidRPr="008978E2" w:rsidRDefault="008978E2" w:rsidP="008978E2">
      <w:pPr>
        <w:pStyle w:val="Caption"/>
        <w:rPr>
          <w:rFonts w:eastAsia="Calibri"/>
          <w:i w:val="0"/>
          <w:iCs w:val="0"/>
          <w:color w:val="auto"/>
          <w:sz w:val="24"/>
          <w:szCs w:val="24"/>
        </w:rPr>
      </w:pPr>
      <w:bookmarkStart w:id="85" w:name="_Ref232836793"/>
      <w:bookmarkStart w:id="86" w:name="_Toc232849054"/>
      <w:r w:rsidRPr="008978E2">
        <w:rPr>
          <w:rFonts w:eastAsia="Calibri"/>
          <w:i w:val="0"/>
          <w:iCs w:val="0"/>
          <w:color w:val="auto"/>
          <w:sz w:val="24"/>
          <w:szCs w:val="24"/>
        </w:rPr>
        <w:lastRenderedPageBreak/>
        <w:t xml:space="preserve">Figure </w:t>
      </w:r>
      <w:r w:rsidRPr="008978E2">
        <w:rPr>
          <w:rFonts w:eastAsia="Calibri"/>
          <w:i w:val="0"/>
          <w:iCs w:val="0"/>
          <w:color w:val="auto"/>
          <w:sz w:val="24"/>
          <w:szCs w:val="24"/>
        </w:rPr>
        <w:fldChar w:fldCharType="begin"/>
      </w:r>
      <w:r w:rsidRPr="008978E2">
        <w:rPr>
          <w:rFonts w:eastAsia="Calibri"/>
          <w:i w:val="0"/>
          <w:iCs w:val="0"/>
          <w:color w:val="auto"/>
          <w:sz w:val="24"/>
          <w:szCs w:val="24"/>
        </w:rPr>
        <w:instrText xml:space="preserve"> SEQ Figure \* ARABIC </w:instrText>
      </w:r>
      <w:r w:rsidRPr="008978E2">
        <w:rPr>
          <w:rFonts w:eastAsia="Calibri"/>
          <w:i w:val="0"/>
          <w:iCs w:val="0"/>
          <w:color w:val="auto"/>
          <w:sz w:val="24"/>
          <w:szCs w:val="24"/>
        </w:rPr>
        <w:fldChar w:fldCharType="separate"/>
      </w:r>
      <w:r w:rsidRPr="008978E2">
        <w:rPr>
          <w:rFonts w:eastAsia="Calibri"/>
          <w:i w:val="0"/>
          <w:iCs w:val="0"/>
          <w:color w:val="auto"/>
          <w:sz w:val="24"/>
          <w:szCs w:val="24"/>
        </w:rPr>
        <w:t>4</w:t>
      </w:r>
      <w:r w:rsidRPr="008978E2">
        <w:rPr>
          <w:rFonts w:eastAsia="Calibri"/>
          <w:i w:val="0"/>
          <w:iCs w:val="0"/>
          <w:color w:val="auto"/>
          <w:sz w:val="24"/>
          <w:szCs w:val="24"/>
        </w:rPr>
        <w:fldChar w:fldCharType="end"/>
      </w:r>
      <w:bookmarkEnd w:id="85"/>
      <w:r w:rsidRPr="008978E2">
        <w:rPr>
          <w:rFonts w:eastAsia="Calibri"/>
          <w:i w:val="0"/>
          <w:iCs w:val="0"/>
          <w:color w:val="auto"/>
          <w:sz w:val="24"/>
          <w:szCs w:val="24"/>
        </w:rPr>
        <w:t>: Choropleth Map of Measles IgM Seroprevalence by District, Malawi, April 2023 to December 2024 (N = 1,191)</w:t>
      </w:r>
      <w:bookmarkEnd w:id="86"/>
    </w:p>
    <w:p w14:paraId="177FCF9C" w14:textId="77777777" w:rsidR="001A2889" w:rsidRDefault="001A2889"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High seroprevalence (60 to 100%) was concentrated across most of the Southern region and the western districts of the Central region, while pockets of lower seroprevalence (0 to 40%) were visible in Karonga in the far north and in Salima in the Central region.</w:t>
      </w:r>
    </w:p>
    <w:p w14:paraId="75110227" w14:textId="77777777" w:rsidR="008978E2" w:rsidRPr="0038502B" w:rsidRDefault="008978E2" w:rsidP="0038502B">
      <w:pPr>
        <w:spacing w:line="480" w:lineRule="auto"/>
        <w:rPr>
          <w:rFonts w:ascii="Times New Roman" w:hAnsi="Times New Roman" w:cs="Times New Roman"/>
          <w:sz w:val="24"/>
          <w:szCs w:val="24"/>
        </w:rPr>
      </w:pPr>
    </w:p>
    <w:p w14:paraId="1D4C5277" w14:textId="125B9E9A" w:rsidR="001A2889" w:rsidRPr="0038502B" w:rsidRDefault="001A2889" w:rsidP="008978E2">
      <w:pPr>
        <w:pStyle w:val="Heading2"/>
      </w:pPr>
      <w:bookmarkStart w:id="87" w:name="_Toc232844545"/>
      <w:bookmarkStart w:id="88" w:name="_Toc232850330"/>
      <w:r w:rsidRPr="0038502B">
        <w:t>Summary of Results</w:t>
      </w:r>
      <w:bookmarkEnd w:id="87"/>
      <w:bookmarkEnd w:id="88"/>
    </w:p>
    <w:p w14:paraId="14045AF4" w14:textId="7D5C2C8C" w:rsidR="00B3476D" w:rsidRDefault="001A2889"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Overall, 70.1% (n = 835) of suspected measles cases tested IgM positive between April 2023 and December 2024, with a marked rise in both testing volume and positive cases from August 2024 that peaked in November 2024. Male sex and region of residence were significantly associated with IgM positivity in both bivariate and multivariate analysis, while age group showed no significant association at either level. Seroprevalence varied widely by district, with the Southern region recording the highest regional seroprevalence and the Central region, despite testing the largest number of cases, recording the lowest.</w:t>
      </w:r>
      <w:r w:rsidR="00B3476D">
        <w:rPr>
          <w:rFonts w:ascii="Times New Roman" w:hAnsi="Times New Roman" w:cs="Times New Roman"/>
          <w:sz w:val="24"/>
          <w:szCs w:val="24"/>
        </w:rPr>
        <w:br w:type="page"/>
      </w:r>
    </w:p>
    <w:p w14:paraId="5425E72D" w14:textId="77777777" w:rsidR="001A2889" w:rsidRPr="0038502B" w:rsidRDefault="001A2889" w:rsidP="0038502B">
      <w:pPr>
        <w:spacing w:line="480" w:lineRule="auto"/>
        <w:rPr>
          <w:rFonts w:ascii="Times New Roman" w:hAnsi="Times New Roman" w:cs="Times New Roman"/>
          <w:sz w:val="24"/>
          <w:szCs w:val="24"/>
        </w:rPr>
      </w:pPr>
    </w:p>
    <w:p w14:paraId="6B368C79" w14:textId="126ABBEB" w:rsidR="00337FEF" w:rsidRPr="0038502B" w:rsidRDefault="008978E2" w:rsidP="00985840">
      <w:pPr>
        <w:pStyle w:val="Heading1"/>
      </w:pPr>
      <w:bookmarkStart w:id="89" w:name="_Toc232772266"/>
      <w:bookmarkStart w:id="90" w:name="_Toc232844546"/>
      <w:bookmarkStart w:id="91" w:name="_Toc232850331"/>
      <w:r w:rsidRPr="0038502B">
        <w:t xml:space="preserve">Chapter </w:t>
      </w:r>
      <w:r>
        <w:t>4</w:t>
      </w:r>
      <w:r>
        <w:tab/>
        <w:t>D</w:t>
      </w:r>
      <w:r w:rsidRPr="0038502B">
        <w:t>iscussion</w:t>
      </w:r>
      <w:bookmarkEnd w:id="89"/>
      <w:bookmarkEnd w:id="90"/>
      <w:bookmarkEnd w:id="91"/>
    </w:p>
    <w:p w14:paraId="26B7F41F" w14:textId="02C1CE7D" w:rsidR="00337FEF" w:rsidRPr="0038502B" w:rsidRDefault="008978E2" w:rsidP="008978E2">
      <w:pPr>
        <w:pStyle w:val="Heading2"/>
      </w:pPr>
      <w:bookmarkStart w:id="92" w:name="_Toc232844547"/>
      <w:bookmarkStart w:id="93" w:name="_Toc232850332"/>
      <w:r>
        <w:t>Introduction</w:t>
      </w:r>
      <w:bookmarkStart w:id="94" w:name="discussion"/>
      <w:bookmarkEnd w:id="92"/>
      <w:bookmarkEnd w:id="93"/>
    </w:p>
    <w:p w14:paraId="7A1D0DF8" w14:textId="77777777"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This study assessed measles IgM positivity among suspected cases in Malawi between April 2023 and December 2024. The main findings were a high overall IgM positivity proportion, a clear rise in cases during late 2024, a significant association between male sex and positivity, no adjusted age association despite many cases occurring in infants younger than nine months, and marked regional and district variation. These findings are discussed below in relation to the conceptual framework and recent literature published between 2020 and 2026.</w:t>
      </w:r>
    </w:p>
    <w:p w14:paraId="47ADD296" w14:textId="4FD6147C" w:rsidR="00337FEF" w:rsidRPr="0038502B" w:rsidRDefault="00337FEF" w:rsidP="008978E2">
      <w:pPr>
        <w:pStyle w:val="Heading2"/>
      </w:pPr>
      <w:bookmarkStart w:id="95" w:name="_Toc232772268"/>
      <w:bookmarkStart w:id="96" w:name="_Toc232844548"/>
      <w:bookmarkStart w:id="97" w:name="_Toc232850333"/>
      <w:bookmarkEnd w:id="94"/>
      <w:r w:rsidRPr="0038502B">
        <w:t>Overall measles IgM positivity</w:t>
      </w:r>
      <w:bookmarkEnd w:id="95"/>
      <w:bookmarkEnd w:id="96"/>
      <w:bookmarkEnd w:id="97"/>
    </w:p>
    <w:p w14:paraId="7274A91E" w14:textId="77777777"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The overall IgM positivity of 70.1% suggests substantial measles transmission during the study period. In a dataset of suspected cases, such a high proportion means that many of the clinically suspected cases were true recent measles infections rather than other febrile rash illnesses. The rise from August 2024 and the peak in November 2024 further suggest outbreak expansion rather than isolated sporadic transmission. Within the conceptual framework, this supports the view that measles antibody outcome was shaped by real epidemiologic conditions, not by chance alone.</w:t>
      </w:r>
    </w:p>
    <w:p w14:paraId="3E1E39B9" w14:textId="77777777" w:rsidR="008978E2" w:rsidRDefault="008978E2" w:rsidP="0038502B">
      <w:pPr>
        <w:spacing w:line="480" w:lineRule="auto"/>
        <w:rPr>
          <w:rFonts w:ascii="Times New Roman" w:hAnsi="Times New Roman" w:cs="Times New Roman"/>
          <w:sz w:val="24"/>
          <w:szCs w:val="24"/>
        </w:rPr>
      </w:pPr>
    </w:p>
    <w:p w14:paraId="0088E1EF" w14:textId="37DA4036"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This finding is consistent with recent regional and global literature showing renewed measles transmission where immunity gaps persist. In the WHO African Region, measles incidence increased between 2017 and 2021, and no country had achieved verified elimination by the end of that period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HL8qWOkY","properties":{"unsorted":false,"formattedCitation":"(11)","plainCitation":"(11)","noteIndex":0},"citationItems":[{"id":24068,"uris":["http://zotero.org/users/6223522/items/CZZB8FWD"],"itemData":{"id":24068,"type":"article-journal","container-title":"Morbidity and Mortality Weekly Report","DOI":"10.15585/mmwr.mm7236a3","page":"985-991","title":"Progress Toward Measles Elimination — African Region, 2017–2021","volume":"72","author":[{"family":"Masresha","given":"B."},{"family":"Hatcher","given":"C."},{"family":"Lebo","given":"E. J."},{"family":"Tanifum","given":"P."},{"family":"Bwaka","given":"A."},{"family":"Minta","given":"A. A."},{"family":"Antoni","given":"S."},{"family":"Grant","given":"G. B."},{"family":"Perry","given":"R. T."},{"family":"O'Connor","given":"P."}],"issued":{"date-parts":[["2023"]]}}}],"schema":"https://github.com/citation-style-language/schema/raw/master/csl-citation.json"}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(11)</w:t>
      </w:r>
      <w:r w:rsidR="008F4B71">
        <w:rPr>
          <w:rFonts w:ascii="Times New Roman" w:hAnsi="Times New Roman" w:cs="Times New Roman"/>
          <w:sz w:val="24"/>
          <w:szCs w:val="24"/>
        </w:rPr>
        <w:fldChar w:fldCharType="end"/>
      </w:r>
      <w:r w:rsidR="008F4B71">
        <w:rPr>
          <w:rFonts w:ascii="Times New Roman" w:hAnsi="Times New Roman" w:cs="Times New Roman"/>
          <w:sz w:val="24"/>
          <w:szCs w:val="24"/>
        </w:rPr>
        <w:t>.</w:t>
      </w:r>
      <w:r w:rsidRPr="0038502B">
        <w:rPr>
          <w:rFonts w:ascii="Times New Roman" w:hAnsi="Times New Roman" w:cs="Times New Roman"/>
          <w:sz w:val="24"/>
          <w:szCs w:val="24"/>
        </w:rPr>
        <w:t xml:space="preserve"> Continued transmission in 2022 and 2023 was linked to stagnant routine coverage, weak second-dose uptake, and incomplete surveillance performance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fmKIcYnA","properties":{"unsorted":false,"formattedCitation":"(12)","plainCitation":"(12)","noteIndex":0},"citationItems":[{"id":24070,"uris":["http://zotero.org/users/6223522/items/8B9B4QCF"],"itemData":{"id":24070,"type":"article-journal","container-title":"Vaccines","DOI":"10.3390/vaccines12080949","issue":"8","page":"949","title":"Tracking Measles and Rubella Elimination Progress—World Health Organization African Region, 2022–2023","volume":"12","author":[{"family":"Masresha","given":"B."},{"family":"Wiysonge","given":"C."},{"family":"Katsande","given":"R."},{"family":"O'Connor","given":"P."},{"family":"Lebo","given":"E. J."},{"family":"Perry","given":"R. T."}],"issued":{"date-parts":[["2024"]]}}}],"schema":"https://github.com/citation-style-language/schema/raw/master/csl-citation.json"}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(12)</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 xml:space="preserve">. At global level, estimated measles cases rose to 10.3 million in 2023 and the number of countries with large or </w:t>
      </w:r>
      <w:r w:rsidRPr="0038502B">
        <w:rPr>
          <w:rFonts w:ascii="Times New Roman" w:hAnsi="Times New Roman" w:cs="Times New Roman"/>
          <w:sz w:val="24"/>
          <w:szCs w:val="24"/>
        </w:rPr>
        <w:lastRenderedPageBreak/>
        <w:t xml:space="preserve">disruptive outbreaks also increased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t11boLec","properties":{"unsorted":false,"formattedCitation":"(3)","plainCitation":"(3)","noteIndex":0},"citationItems":[{"id":24073,"uris":["http://zotero.org/users/6223522/items/Q6FK6C78"],"itemData":{"id":24073,"type":"article-journal","container-title":"Morbidity and Mortality Weekly Report","DOI":"10.15585/mmwr.mm7345a4","issue":"45","page":"1036-1042","title":"Progress Toward Measles Elimination — Worldwide, 2000–2023","volume":"73","author":[{"family":"Minta","given":"A. A."},{"family":"Ferrari","given":"M."},{"family":"Antoni","given":"S."},{"family":"Lambert","given":"B."},{"family":"Sayi","given":"T. S."},{"family":"Hsu","given":"C. H."},{"family":"Steulet","given":"C."},{"family":"Gacic-Dobo","given":"M."},{"family":"Rota","given":"P. A."},{"family":"Mulders","given":"M."},{"family":"Wimmer","given":"A."},{"family":"Bose","given":"A."},{"family":"O'Connor","given":"P."},{"family":"Crowcroft","given":"N."}],"issued":{"date-parts":[["2024"]]}}}],"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(3)</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 The present finding therefore complements current evidence that measles remains a persistent public health threat in settings where susceptible individuals continue to accumulate.</w:t>
      </w:r>
    </w:p>
    <w:p w14:paraId="4751A570" w14:textId="77777777" w:rsidR="008978E2" w:rsidRDefault="008978E2" w:rsidP="0038502B">
      <w:pPr>
        <w:spacing w:line="480" w:lineRule="auto"/>
        <w:rPr>
          <w:rFonts w:ascii="Times New Roman" w:hAnsi="Times New Roman" w:cs="Times New Roman"/>
          <w:sz w:val="24"/>
          <w:szCs w:val="24"/>
        </w:rPr>
      </w:pPr>
    </w:p>
    <w:p w14:paraId="1E502F05" w14:textId="56AD01EB"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The result also suggests that routine vaccination coverage figures alone may not fully reflect effective protection. Recent work has shown that outbreaks often expose immunity gaps that are hidden by national averages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6SUaDgX6","properties":{"unsorted":false,"formattedCitation":"(13,14)","plainCitation":"(13,14)","noteIndex":0},"citationItems":[{"id":24064,"uris":["http://zotero.org/users/6223522/items/AILKQCKM"],"itemData":{"id":24064,"type":"article-journal","container-title":"BMC Medicine","DOI":"10.1186/s12916-020-01843-z","page":"2","title":"Vaccination strategies for measles control and elimination: time to strengthen local initiatives","volume":"19","author":[{"family":"Cutts","given":"F."},{"family":"Ferrari","given":"M."},{"family":"Krause","given":"L."},{"family":"Tatem","given":"A."},{"family":"Mosser","given":"J."}],"issued":{"date-parts":[["2021"]]}}},{"id":24077,"uris":["http://zotero.org/users/6223522/items/V8N7PJXU"],"itemData":{"id":24077,"type":"article-journal","container-title":"Vaccines","DOI":"10.3390/vaccines13020157","issue":"2","page":"157","title":"Measles Vaccination Coverage and Anti-Measles Herd Immunity Levels in the World and WHO Regions Worsened from 2019 to 2023","volume":"13","author":[{"family":"Plans-Rubió","given":"P."}],"issued":{"date-parts":[["2025"]]}}}],"schema":"https://github.com/citation-style-language/schema/raw/master/csl-citation.json"}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(13,14)</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 In that sense, the high IgM positivity in this study is an indirect signal that susceptibility remained high enough in some populations to sustain transmission. Although this study did not measure IgG seroprotection, it still points to the practical consequence of incomplete population protection: continued outbreak activity.</w:t>
      </w:r>
    </w:p>
    <w:p w14:paraId="17F58DFF" w14:textId="77777777" w:rsidR="008978E2" w:rsidRDefault="008978E2" w:rsidP="0038502B">
      <w:pPr>
        <w:spacing w:line="480" w:lineRule="auto"/>
        <w:rPr>
          <w:rFonts w:ascii="Times New Roman" w:hAnsi="Times New Roman" w:cs="Times New Roman"/>
          <w:sz w:val="24"/>
          <w:szCs w:val="24"/>
        </w:rPr>
      </w:pPr>
    </w:p>
    <w:p w14:paraId="05289835" w14:textId="289930E5"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From the conceptual framework perspective, this finding supports the central assumption that measles antibody outcome is influenced by factors operating at both individual and system level. Even though the framework listed age, sex, district, vaccination history, sample condition, and testing interval, the overall high positivity first establishes that the outcome itself reflected a setting with active recent transmission. In other words, the study outcome was meaningful enough to allow the other explanatory variables in the framework to be interpreted against a real outbreak background rather than a low-transmission setting.</w:t>
      </w:r>
    </w:p>
    <w:p w14:paraId="583C352E" w14:textId="77777777" w:rsidR="008978E2" w:rsidRDefault="008978E2" w:rsidP="0038502B">
      <w:pPr>
        <w:spacing w:line="480" w:lineRule="auto"/>
        <w:rPr>
          <w:rFonts w:ascii="Times New Roman" w:hAnsi="Times New Roman" w:cs="Times New Roman"/>
          <w:sz w:val="24"/>
          <w:szCs w:val="24"/>
        </w:rPr>
      </w:pPr>
    </w:p>
    <w:p w14:paraId="0163C984" w14:textId="0B905080"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In comparison with literature, the present finding is more complementary than contradictory. The exact percentage should not be expected to match every other study because case definitions, laboratory pathways, and surveillance quality differ across settings </w:t>
      </w:r>
      <w:r w:rsidR="008F4B71">
        <w:rPr>
          <w:rFonts w:ascii="Times New Roman" w:hAnsi="Times New Roman" w:cs="Times New Roman"/>
          <w:sz w:val="24"/>
          <w:szCs w:val="24"/>
        </w:rPr>
        <w:fldChar w:fldCharType="begin"/>
      </w:r>
      <w:r w:rsidR="008F4B71">
        <w:rPr>
          <w:rFonts w:ascii="Times New Roman" w:hAnsi="Times New Roman" w:cs="Times New Roman"/>
          <w:sz w:val="24"/>
          <w:szCs w:val="24"/>
        </w:rPr>
        <w:instrText xml:space="preserve"> ADDIN ZOTERO_ITEM CSL_CITATION {"citationID":"zwuxzZzZ","properties":{"unsorted":false,"formattedCitation":"(12,15)","plainCitation":"(12,15)","noteIndex":0},"citationItems":[{"id":24070,"uris":["http://zotero.org/users/6223522/items/8B9B4QCF"],"itemData":{"id":24070,"type":"article-journal","container-title":"Vaccines","DOI":"10.3390/vaccines12080949","issue":"8","page":"949","title":"Tracking Measles and Rubella Elimination Progress—World Health Organization African Region, 2022–2023","volume":"12","author":[{"family":"Masresha","given":"B."},{"family":"Wiysonge","given":"C."},{"family":"Katsande","given":"R."},{"family":"O'Connor","given":"P."},{"family":"Lebo","given":"E. J."},{"family":"Perry","given":"R. T."}],"issued":{"date-parts":[["2024"]]}}},{"id":24062,"uris":["http://zotero.org/users/6223522/items/L62A93XI"],"itemData":{"id":24062,"type":"article-journal","container-title":"Infectious Disease Reports","DOI":"10.3390/idr16020028","page":"367-379","title":"Global Measles Surveillance: Trends, Challenges, and Implications for Public Health Interventions","volume":"16","author":[{"family":"Branda","given":"F."},{"family":"Giovanetti","given":"M."},{"family":"Romano","given":"C."},{"family":"Benvenuto","given":"D."},{"family":"Ciccozzi","given":"A."},{"family":"Sanna","given":"D."},{"family":"Ciccozzi","given":"M."},{"family":"Scarpa","given":"F."}],"issued":{"date-parts":[["2024"]]}}}],"schema":"https://github.com/citation-style-language/schema/raw/master/csl-citation.json"} </w:instrText>
      </w:r>
      <w:r w:rsidR="008F4B71">
        <w:rPr>
          <w:rFonts w:ascii="Times New Roman" w:hAnsi="Times New Roman" w:cs="Times New Roman"/>
          <w:sz w:val="24"/>
          <w:szCs w:val="24"/>
        </w:rPr>
        <w:fldChar w:fldCharType="separate"/>
      </w:r>
      <w:r w:rsidR="008F4B71" w:rsidRPr="008F4B71">
        <w:rPr>
          <w:rFonts w:ascii="Times New Roman" w:hAnsi="Times New Roman" w:cs="Times New Roman"/>
          <w:sz w:val="24"/>
        </w:rPr>
        <w:t>(12,15)</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 xml:space="preserve">. Still, the direction is the same across recent studies: where coverage gaps, surveillance weaknesses, and susceptible </w:t>
      </w:r>
      <w:r w:rsidRPr="0038502B">
        <w:rPr>
          <w:rFonts w:ascii="Times New Roman" w:hAnsi="Times New Roman" w:cs="Times New Roman"/>
          <w:sz w:val="24"/>
          <w:szCs w:val="24"/>
        </w:rPr>
        <w:lastRenderedPageBreak/>
        <w:t xml:space="preserve">clusters persist, measles continues to re-emerge </w:t>
      </w:r>
      <w:r w:rsidR="008F4B71">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d9gWsNKn","properties":{"unsorted":false,"formattedCitation":"(3,11)","plainCitation":"(3,11)","noteIndex":0},"citationItems":[{"id":24073,"uris":["http://zotero.org/users/6223522/items/Q6FK6C78"],"itemData":{"id":24073,"type":"article-journal","container-title":"Morbidity and Mortality Weekly Report","DOI":"10.15585/mmwr.mm7345a4","issue":"45","page":"1036-1042","title":"Progress Toward Measles Elimination — Worldwide, 2000–2023","volume":"73","author":[{"family":"Minta","given":"A. A."},{"family":"Ferrari","given":"M."},{"family":"Antoni","given":"S."},{"family":"Lambert","given":"B."},{"family":"Sayi","given":"T. S."},{"family":"Hsu","given":"C. H."},{"family":"Steulet","given":"C."},{"family":"Gacic-Dobo","given":"M."},{"family":"Rota","given":"P. A."},{"family":"Mulders","given":"M."},{"family":"Wimmer","given":"A."},{"family":"Bose","given":"A."},{"family":"O'Connor","given":"P."},{"family":"Crowcroft","given":"N."}],"issued":{"date-parts":[["2024"]]}}},{"id":24068,"uris":["http://zotero.org/users/6223522/items/CZZB8FWD"],"itemData":{"id":24068,"type":"article-journal","container-title":"Morbidity and Mortality Weekly Report","DOI":"10.15585/mmwr.mm7236a3","page":"985-991","title":"Progress Toward Measles Elimination — African Region, 2017–2021","volume":"72","author":[{"family":"Masresha","given":"B."},{"family":"Hatcher","given":"C."},{"family":"Lebo","given":"E. J."},{"family":"Tanifum","given":"P."},{"family":"Bwaka","given":"A."},{"family":"Minta","given":"A. A."},{"family":"Antoni","given":"S."},{"family":"Grant","given":"G. B."},{"family":"Perry","given":"R. T."},{"family":"O'Connor","given":"P."}],"issued":{"date-parts":[["2023"]]}}}],"schema":"https://github.com/citation-style-language/schema/raw/master/csl-citation.json"} </w:instrText>
      </w:r>
      <w:r w:rsidR="008F4B71">
        <w:rPr>
          <w:rFonts w:ascii="Times New Roman" w:hAnsi="Times New Roman" w:cs="Times New Roman"/>
          <w:sz w:val="24"/>
          <w:szCs w:val="24"/>
        </w:rPr>
        <w:fldChar w:fldCharType="separate"/>
      </w:r>
      <w:r w:rsidR="00677519" w:rsidRPr="00677519">
        <w:rPr>
          <w:rFonts w:ascii="Times New Roman" w:hAnsi="Times New Roman" w:cs="Times New Roman"/>
          <w:sz w:val="24"/>
        </w:rPr>
        <w:t>(3,11)</w:t>
      </w:r>
      <w:r w:rsidR="008F4B71">
        <w:rPr>
          <w:rFonts w:ascii="Times New Roman" w:hAnsi="Times New Roman" w:cs="Times New Roman"/>
          <w:sz w:val="24"/>
          <w:szCs w:val="24"/>
        </w:rPr>
        <w:fldChar w:fldCharType="end"/>
      </w:r>
      <w:r w:rsidRPr="0038502B">
        <w:rPr>
          <w:rFonts w:ascii="Times New Roman" w:hAnsi="Times New Roman" w:cs="Times New Roman"/>
          <w:sz w:val="24"/>
          <w:szCs w:val="24"/>
        </w:rPr>
        <w:t>. That makes the Malawi finding both credible and important.</w:t>
      </w:r>
    </w:p>
    <w:p w14:paraId="24E5B607" w14:textId="77777777" w:rsidR="008978E2" w:rsidRDefault="008978E2" w:rsidP="0038502B">
      <w:pPr>
        <w:spacing w:line="480" w:lineRule="auto"/>
        <w:rPr>
          <w:rFonts w:ascii="Times New Roman" w:hAnsi="Times New Roman" w:cs="Times New Roman"/>
          <w:b/>
          <w:bCs/>
          <w:sz w:val="24"/>
          <w:szCs w:val="24"/>
        </w:rPr>
      </w:pPr>
      <w:bookmarkStart w:id="98" w:name="overall-measles-igm-positivity"/>
      <w:bookmarkStart w:id="99" w:name="_Toc232772269"/>
      <w:bookmarkStart w:id="100" w:name="Xee296720cc44ef98ba423a139a95cbba2a6b606"/>
      <w:bookmarkEnd w:id="98"/>
    </w:p>
    <w:p w14:paraId="6C3674C6" w14:textId="68C2219D" w:rsidR="00337FEF" w:rsidRPr="0038502B" w:rsidRDefault="00337FEF" w:rsidP="008978E2">
      <w:pPr>
        <w:pStyle w:val="Heading2"/>
      </w:pPr>
      <w:bookmarkStart w:id="101" w:name="_Toc232844549"/>
      <w:bookmarkStart w:id="102" w:name="_Toc232850334"/>
      <w:r w:rsidRPr="0038502B">
        <w:t>Sex differences in measles IgM positivity</w:t>
      </w:r>
      <w:bookmarkEnd w:id="99"/>
      <w:bookmarkEnd w:id="101"/>
      <w:bookmarkEnd w:id="102"/>
    </w:p>
    <w:p w14:paraId="002AD1C0" w14:textId="77777777"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Male sex remained significantly associated with IgM positivity after adjustment, with males showing higher odds of testing positive than females. This indicates that sex was not merely a descriptive variable in the sample. In terms of the conceptual framework, the finding supports sex as a relevant factor associated with measles antibody outcome in this dataset.</w:t>
      </w:r>
    </w:p>
    <w:p w14:paraId="01E1E61B" w14:textId="77777777" w:rsidR="00677519" w:rsidRDefault="00677519" w:rsidP="0038502B">
      <w:pPr>
        <w:spacing w:line="480" w:lineRule="auto"/>
        <w:rPr>
          <w:rFonts w:ascii="Times New Roman" w:hAnsi="Times New Roman" w:cs="Times New Roman"/>
          <w:sz w:val="24"/>
          <w:szCs w:val="24"/>
        </w:rPr>
      </w:pPr>
    </w:p>
    <w:p w14:paraId="05BD52C0" w14:textId="4E159810"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This result is broadly consistent with recent literature, although the available evidence is more limited than for age or geography. A pooled analysis across seven countries found consistently higher measles incidence in males at younger ages, with male-to-female incidence ratios above 1.0 in infancy and childhood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{"citationID":"1hsmH2Pq","properties":{"unsorted":false,"formattedCitation":"(16)","plainCitation":"(16)","noteIndex":0},"citationItems":[{"id":24066,"uris":["http://zotero.org/users/6223522/items/HQQVMRGX"],"itemData":{"id":24066,"type":"article-journal","container-title":"BMC Infectious Diseases","DOI":"10.1186/s12879-022-07340-3","page":"458","title":"Gender differences in measles incidence rates in a multi-year, pooled analysis, based on national data from seven high income countries","volume":"22","author":[{"family":"Green","given":"M. S."},{"family":"Schwartz","given":"N."},{"family":"Peer","given":"V."}],"issued":{"date-parts":[["2022"]]}}}],"schema":"https://github.com/citation-style-language/schema/raw/master/csl-citation.json"}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(16)</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The direction of the current finding is therefore plausible. However, the stronger magnitude observed here may reflect local outbreak conditions, differences in exposure, or differences in care-seeking and testing patterns rather than biology alone. Because this study was based on suspected cases in surveillance data, it cannot distinguish clearly between these explanations.</w:t>
      </w:r>
    </w:p>
    <w:p w14:paraId="10096511" w14:textId="77777777" w:rsidR="008978E2" w:rsidRDefault="008978E2" w:rsidP="0038502B">
      <w:pPr>
        <w:spacing w:line="480" w:lineRule="auto"/>
        <w:rPr>
          <w:rFonts w:ascii="Times New Roman" w:hAnsi="Times New Roman" w:cs="Times New Roman"/>
          <w:sz w:val="24"/>
          <w:szCs w:val="24"/>
        </w:rPr>
      </w:pPr>
    </w:p>
    <w:p w14:paraId="4B1C325E" w14:textId="7A9061EB"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The implication is that sex should not be treated only as a background characteristic in measles surveillance analysis. It may reflect underlying differences in exposure or case detection that deserve closer attention during outbreaks. At the same time, the result should be interpreted cautiously, since the literature does not yet establish a single clear mechanism that would explain a markedly higher positivity among males in Malawi.</w:t>
      </w:r>
    </w:p>
    <w:p w14:paraId="160EFBED" w14:textId="77777777" w:rsidR="008978E2" w:rsidRDefault="008978E2" w:rsidP="0038502B">
      <w:pPr>
        <w:spacing w:line="480" w:lineRule="auto"/>
        <w:rPr>
          <w:rFonts w:ascii="Times New Roman" w:hAnsi="Times New Roman" w:cs="Times New Roman"/>
          <w:sz w:val="24"/>
          <w:szCs w:val="24"/>
        </w:rPr>
      </w:pPr>
    </w:p>
    <w:p w14:paraId="13C52537" w14:textId="5376F7D8"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In relation to the conceptual framework, this result gives direct support to sex as one of the proposed determinants of measles antibody outcome. Unlike some of the other variables in the framework, sex remained significant after adjustment, which means it retained explanatory value even when considered together with age and region. That strengthens the argument that the distribution of measles IgM positivity in this dataset was not random, but patterned by identifiable characteristics of the suspected cases.</w:t>
      </w:r>
    </w:p>
    <w:p w14:paraId="4DC57A54" w14:textId="77777777" w:rsidR="008978E2" w:rsidRDefault="008978E2" w:rsidP="0038502B">
      <w:pPr>
        <w:spacing w:line="480" w:lineRule="auto"/>
        <w:rPr>
          <w:rFonts w:ascii="Times New Roman" w:hAnsi="Times New Roman" w:cs="Times New Roman"/>
          <w:sz w:val="24"/>
          <w:szCs w:val="24"/>
        </w:rPr>
      </w:pPr>
    </w:p>
    <w:p w14:paraId="0D31733E" w14:textId="1F83FDB4"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In comparison with literature, the finding is broadly in the same direction as recent evidence showing somewhat higher measles incidence among males in younger age groups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{"citationID":"q0knqViE","properties":{"unsorted":false,"formattedCitation":"(16)","plainCitation":"(16)","noteIndex":0},"citationItems":[{"id":24066,"uris":["http://zotero.org/users/6223522/items/HQQVMRGX"],"itemData":{"id":24066,"type":"article-journal","container-title":"BMC Infectious Diseases","DOI":"10.1186/s12879-022-07340-3","page":"458","title":"Gender differences in measles incidence rates in a multi-year, pooled analysis, based on national data from seven high income countries","volume":"22","author":[{"family":"Green","given":"M. S."},{"family":"Schwartz","given":"N."},{"family":"Peer","given":"V."}],"issued":{"date-parts":[["2022"]]}}}],"schema":"https://github.com/citation-style-language/schema/raw/master/csl-citation.json"}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(16)</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However, the current study shows a stronger association than most pooled estimates reported elsewhere. That may indicate local epidemiologic conditions in Malawi, but it may also reflect the nature of the surveillance sample. The current result therefore complements existing literature, while also suggesting that sex-specific patterns in measles positivity may deserve more attention in African surveillance studies.</w:t>
      </w:r>
    </w:p>
    <w:p w14:paraId="1A0E7AA2" w14:textId="77777777" w:rsidR="008978E2" w:rsidRDefault="008978E2" w:rsidP="0038502B">
      <w:pPr>
        <w:spacing w:line="480" w:lineRule="auto"/>
        <w:rPr>
          <w:rFonts w:ascii="Times New Roman" w:hAnsi="Times New Roman" w:cs="Times New Roman"/>
          <w:b/>
          <w:bCs/>
          <w:sz w:val="24"/>
          <w:szCs w:val="24"/>
        </w:rPr>
      </w:pPr>
      <w:bookmarkStart w:id="103" w:name="_Toc232772270"/>
      <w:bookmarkStart w:id="104" w:name="X26840d9b61726ecc39c5022bf745b6ba118f26a"/>
      <w:bookmarkEnd w:id="100"/>
    </w:p>
    <w:p w14:paraId="3D1ED735" w14:textId="7D5640BE" w:rsidR="00337FEF" w:rsidRPr="0038502B" w:rsidRDefault="00337FEF" w:rsidP="008978E2">
      <w:pPr>
        <w:pStyle w:val="Heading2"/>
      </w:pPr>
      <w:bookmarkStart w:id="105" w:name="_Toc232844550"/>
      <w:bookmarkStart w:id="106" w:name="_Toc232850335"/>
      <w:r w:rsidRPr="0038502B">
        <w:t>Age pattern and vulnerability among infants younger than nine months</w:t>
      </w:r>
      <w:bookmarkEnd w:id="103"/>
      <w:bookmarkEnd w:id="105"/>
      <w:bookmarkEnd w:id="106"/>
    </w:p>
    <w:p w14:paraId="6332E33E" w14:textId="77777777"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Age group was not significantly associated with IgM positivity in the adjusted model, but the descriptive findings remain important. Among cases with complete age data, more than half occurred in infants younger than nine months. This is a notable pattern because children in this age group are generally below the routine age for measles vaccination and rely mainly on maternally derived antibodies for early protection. In relation to the conceptual framework, age therefore remains important even though the adjusted association was not statistically significant.</w:t>
      </w:r>
    </w:p>
    <w:p w14:paraId="3645C234" w14:textId="77777777" w:rsidR="00DD6BFA" w:rsidRDefault="00DD6BFA" w:rsidP="0038502B">
      <w:pPr>
        <w:spacing w:line="480" w:lineRule="auto"/>
        <w:rPr>
          <w:rFonts w:ascii="Times New Roman" w:hAnsi="Times New Roman" w:cs="Times New Roman"/>
          <w:sz w:val="24"/>
          <w:szCs w:val="24"/>
        </w:rPr>
      </w:pPr>
    </w:p>
    <w:p w14:paraId="3244BD4E" w14:textId="01AD7D48"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This descriptive pattern agrees with recent evidence on early infant susceptibility. In Malawi, Baroncelli and colleagues reported that 98.3% of 6-month-old infants had non-protective measles IgG levels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GEdeetMr","properties":{"unsorted":false,"formattedCitation":"(17)","plainCitation":"(17)","noteIndex":0},"citationItems":[{"id":24087,"uris":["http://zotero.org/users/6223522/items/KGBEFB3T"],"itemData":{"id":24087,"type":"article-journal","container-title":"Tropical Medicine &amp; International Health","DOI":"10.1111/tmi.13920","issue":"9","page":"731-735","title":"Insufficient measles antibody protection in 6-month-old Malawian infants: Reconsider vaccination schedule?","volume":"28","author":[{"family":"Baroncelli","given":"S."},{"family":"Galluzzo","given":"C."},{"family":"Orlando","given":"S."},{"family":"Luhanga","given":"R."},{"family":"Mphwere","given":"R."},{"family":"Kavalo","given":"T."},{"family":"Amici","given":"R."},{"family":"Floridia","given":"M."},{"family":"Andreotti","given":"M."},{"family":"Ciccacci","given":"F."},{"family":"Marazzi","given":"M."},{"family":"Giuliano","given":"M."}],"issued":{"date-parts":[["2023"]]}}}],"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(17)</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xml:space="preserve">. Ong and colleagues also showed in a 2025 meta-analysis that infant measles seropositivity in low- and middle-income countries declines rapidly, from 81% at birth to 30% by four months and 18% by seven months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D3Fxx8g2","properties":{"unsorted":false,"formattedCitation":"(18)","plainCitation":"(18)","noteIndex":0},"citationItems":[{"id":24095,"uris":["http://zotero.org/users/6223522/items/CLRSK4NA"],"itemData":{"id":24095,"type":"article-journal","container-title":"Journal of Infectious Diseases","DOI":"10.1093/infdis/jiaf177","title":"Measles seroprevalence in infants under nine months in LMICs","author":[{"family":"Ong","given":"D. S."},{"family":"Mollendorf","given":"C.","dropping-particle":"von"},{"family":"Mulholland","given":"K."},{"family":"Do","given":"L. A. H."}],"issued":{"date-parts":[["2025"]]}}}],"schema":"https://github.com/citation-style-language/schema/raw/master/csl-citation.json"}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(18)</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xml:space="preserve">. A recent WHO technical consultation similarly emphasized that infants may remain highly vulnerable before nine months, even though maintaining strong routine MCV1 and MCV2 coverage remains the main priority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0RUtIkZq","properties":{"unsorted":false,"formattedCitation":"(19)","plainCitation":"(19)","noteIndex":0},"citationItems":[{"id":24083,"uris":["http://zotero.org/users/6223522/items/BXT68VB7"],"itemData":{"id":24083,"type":"article-journal","container-title":"Vaccine","DOI":"10.1016/j.vaccine.2025.127187","page":"127187","title":"What is the current evidence base for measles vaccination earlier than 9 months of age?: Report from an informal technical consultation of the World Health Organization","volume":"57","author":[{"family":"Varma","given":"A."},{"family":"Bolotin","given":"S."},{"family":"Serres","given":"G. D."},{"family":"Didierlaurent","given":"A. M."},{"family":"Earle","given":"K."},{"family":"Frey","given":"K."},{"family":"Hahné","given":"S."},{"family":"Kapelus","given":"D."},{"family":"Krause","given":"L. K."},{"family":"McCarthy","given":"K."},{"family":"Moss","given":"W. J."},{"family":"Orenstein","given":"W."},{"family":"Binnendijk","given":"R.","dropping-particle":"van"},{"family":"Vittrup","given":"D. M."},{"family":"Voysey","given":"M."},{"family":"Woudenberg","given":"T."},{"family":"Bar-Zeev","given":"N."},{"family":"Bose","given":"A."},{"family":"Hombach","given":"J."},{"family":"Crowcroft","given":"N. S."}],"issued":{"date-parts":[["2025"]]}}}],"schema":"https://github.com/citation-style-language/schema/raw/master/csl-citation.json"}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(19)</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The concentration of cases in infants younger than nine months in this study therefore complements the recent literature rather than contradicting it.</w:t>
      </w:r>
    </w:p>
    <w:p w14:paraId="5AE0760C" w14:textId="77777777" w:rsidR="00DD6BFA" w:rsidRDefault="00DD6BFA" w:rsidP="0038502B">
      <w:pPr>
        <w:spacing w:line="480" w:lineRule="auto"/>
        <w:rPr>
          <w:rFonts w:ascii="Times New Roman" w:hAnsi="Times New Roman" w:cs="Times New Roman"/>
          <w:sz w:val="24"/>
          <w:szCs w:val="24"/>
        </w:rPr>
      </w:pPr>
    </w:p>
    <w:p w14:paraId="121F35E0" w14:textId="5BE79A94"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The absence of a statistically significant age effect in the adjusted model is more likely to reflect limitations in the data than the absence of a true epidemiologic relationship. The large amount of missing age information may have reduced the power to detect age-based differences. This interpretation is also supported by findings from southern Africa showing that measles burden often remains concentrated in young children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{"citationID":"zbIOJdqU","properties":{"unsorted":false,"formattedCitation":"(9)","plainCitation":"(9)","noteIndex":0},"citationItems":[{"id":24085,"uris":["http://zotero.org/users/6223522/items/XBWEJUMA"],"itemData":{"id":24085,"type":"article-journal","container-title":"BMC Public Health","DOI":"10.1186/s12889-022-14069-w","page":"1693","title":"Measles incidence in South Africa: a six-year review, 2015—2020","volume":"22","author":[{"family":"Yousif","given":"M."},{"family":"Hong","given":"H."},{"family":"Malfeld","given":"S."},{"family":"Smit","given":"S."},{"family":"Makhathin","given":"L."},{"family":"Motsamai","given":"T."},{"family":"Tselana","given":"D."},{"family":"Manamela","given":"M."},{"family":"Kamupira","given":"M."},{"family":"Maseti","given":"E."},{"family":"Otwombe","given":"K."},{"family":"McCarthy","given":"K."},{"family":"Suchard","given":"M."}],"issued":{"date-parts":[["2022"]]}}}],"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(9)</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For this reason, the current result should be read carefully: the regression model did not confirm age as significant, but the descriptive pattern and the literature both indicate that early infancy remains a period of high vulnerability.</w:t>
      </w:r>
    </w:p>
    <w:p w14:paraId="3911B6EE" w14:textId="77777777" w:rsidR="00DD6BFA" w:rsidRDefault="00DD6BFA" w:rsidP="0038502B">
      <w:pPr>
        <w:spacing w:line="480" w:lineRule="auto"/>
        <w:rPr>
          <w:rFonts w:ascii="Times New Roman" w:hAnsi="Times New Roman" w:cs="Times New Roman"/>
          <w:sz w:val="24"/>
          <w:szCs w:val="24"/>
        </w:rPr>
      </w:pPr>
    </w:p>
    <w:p w14:paraId="5262925D" w14:textId="701D8F5C"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In relation to the conceptual framework, age remains an important explanatory variable even though it did not achieve statistical significance in the adjusted model. The framework was built on the assumption that immunity and susceptibility change across the life course, especially in early infancy before routine vaccination. The descriptive concentration of cases among infants </w:t>
      </w:r>
      <w:r w:rsidRPr="0038502B">
        <w:rPr>
          <w:rFonts w:ascii="Times New Roman" w:hAnsi="Times New Roman" w:cs="Times New Roman"/>
          <w:sz w:val="24"/>
          <w:szCs w:val="24"/>
        </w:rPr>
        <w:lastRenderedPageBreak/>
        <w:t>younger than nine months supports that logic. What the final model suggests is not that age is irrelevant, but that the available data were not strong enough to demonstrate its effect clearly after adjustment.</w:t>
      </w:r>
    </w:p>
    <w:p w14:paraId="5B7F36AE" w14:textId="77777777" w:rsidR="00DD6BFA" w:rsidRDefault="00DD6BFA" w:rsidP="0038502B">
      <w:pPr>
        <w:spacing w:line="480" w:lineRule="auto"/>
        <w:rPr>
          <w:rFonts w:ascii="Times New Roman" w:hAnsi="Times New Roman" w:cs="Times New Roman"/>
          <w:sz w:val="24"/>
          <w:szCs w:val="24"/>
        </w:rPr>
      </w:pPr>
    </w:p>
    <w:p w14:paraId="2A95D845" w14:textId="5DB7A202" w:rsidR="00337FEF"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In comparison with literature, the present findings mainly complement recent evidence rather than oppose it. Studies from Malawi and other low- and middle-income settings consistently show that infants lose passive protection early and may become susceptible before the first routine dose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3yrPnK3S","properties":{"unsorted":false,"formattedCitation":"(19\\uc0\\u8211{}21)","plainCitation":"(19–21)","noteIndex":0},"citationItems":[{"id":24083,"uris":["http://zotero.org/users/6223522/items/BXT68VB7"],"itemData":{"id":24083,"type":"article-journal","container-title":"Vaccine","DOI":"10.1016/j.vaccine.2025.127187","page":"127187","title":"What is the current evidence base for measles vaccination earlier than 9 months of age?: Report from an informal technical consultation of the World Health Organization","volume":"57","author":[{"family":"Varma","given":"A."},{"family":"Bolotin","given":"S."},{"family":"Serres","given":"G. D."},{"family":"Didierlaurent","given":"A. M."},{"family":"Earle","given":"K."},{"family":"Frey","given":"K."},{"family":"Hahné","given":"S."},{"family":"Kapelus","given":"D."},{"family":"Krause","given":"L. K."},{"family":"McCarthy","given":"K."},{"family":"Moss","given":"W. J."},{"family":"Orenstein","given":"W."},{"family":"Binnendijk","given":"R.","dropping-particle":"van"},{"family":"Vittrup","given":"D. M."},{"family":"Voysey","given":"M."},{"family":"Woudenberg","given":"T."},{"family":"Bar-Zeev","given":"N."},{"family":"Bose","given":"A."},{"family":"Hombach","given":"J."},{"family":"Crowcroft","given":"N. S."}],"issued":{"date-parts":[["2025"]]}}},{"id":24058,"uris":["http://zotero.org/users/6223522/items/HTXEHB7K"],"itemData":{"id":24058,"type":"article-journal","container-title":"Tropical Medicine &amp; International Health","DOI":"10.1111/tmi.13920","page":"731-735","title":"Insufficient measles antibody protection in 6‐month‐old Malawian infants: Reconsider vaccination schedule?","volume":"28","author":[{"family":"Baroncelli","given":"S."},{"family":"Galluzzo","given":"C."},{"family":"Orlando","given":"S."},{"family":"Luhanga","given":"R."},{"family":"Mphwere","given":"R."},{"family":"Kavalo","given":"T."},{"family":"Amici","given":"R."},{"family":"Floridia","given":"M."},{"family":"Andreotti","given":"M."},{"family":"Ciccacci","given":"F."},{"family":"Marazzi","given":"M."},{"family":"Giuliano","given":"M."}],"issued":{"date-parts":[["2023"]]}}},{"id":24075,"uris":["http://zotero.org/users/6223522/items/KIQH3THS"],"itemData":{"id":24075,"type":"article-journal","container-title":"The Journal of Infectious Diseases","DOI":"10.1093/infdis/jiaf177","title":"Measles seroprevalence in infants under nine months of age in low- and middle-income countries: a systematic review and meta-analysis","author":[{"family":"Ong","given":"D. S."},{"family":"Mollendorf","given":"C.","dropping-particle":"von"},{"family":"Mulholland","given":"K."},{"family":"Do","given":"L. A. H."}],"issued":{"date-parts":[["2025"]]}}}],"schema":"https://github.com/citation-style-language/schema/raw/master/csl-citation.json"}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(19–21)</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The only apparent difference is that age did not remain significant in the adjusted analysis here. Given the degree of missing age data, that difference is best interpreted as a data limitation rather than a true contradiction with the literature.</w:t>
      </w:r>
    </w:p>
    <w:p w14:paraId="388FE793" w14:textId="77777777" w:rsidR="00B3476D" w:rsidRPr="0038502B" w:rsidRDefault="00B3476D" w:rsidP="0038502B">
      <w:pPr>
        <w:spacing w:line="480" w:lineRule="auto"/>
        <w:rPr>
          <w:rFonts w:ascii="Times New Roman" w:hAnsi="Times New Roman" w:cs="Times New Roman"/>
          <w:sz w:val="24"/>
          <w:szCs w:val="24"/>
        </w:rPr>
      </w:pPr>
    </w:p>
    <w:p w14:paraId="5196AAC7" w14:textId="6CD8D1AF" w:rsidR="00337FEF" w:rsidRPr="0038502B" w:rsidRDefault="00337FEF" w:rsidP="00DD6BFA">
      <w:pPr>
        <w:pStyle w:val="Heading2"/>
      </w:pPr>
      <w:bookmarkStart w:id="107" w:name="_Toc232772271"/>
      <w:bookmarkStart w:id="108" w:name="_Toc232844551"/>
      <w:bookmarkStart w:id="109" w:name="_Toc232850336"/>
      <w:bookmarkStart w:id="110" w:name="Xeb6c364718ce378d890496eae0942e2fe00f9a3"/>
      <w:bookmarkEnd w:id="104"/>
      <w:r w:rsidRPr="0038502B">
        <w:t>Regional and district variation in measles positivity</w:t>
      </w:r>
      <w:bookmarkEnd w:id="107"/>
      <w:bookmarkEnd w:id="108"/>
      <w:bookmarkEnd w:id="109"/>
    </w:p>
    <w:p w14:paraId="1C227AB9" w14:textId="77777777"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Region was the strongest predictor of measles IgM positivity in this study, and district-level results also showed wide variation. This supports the geographic component of the conceptual framework, which proposed district of residence as an important determinant of measles antibody outcome. The concentration of higher positivity in the Southern Region suggests that measles transmission was not evenly distributed across Malawi, but was clustered in particular places.</w:t>
      </w:r>
    </w:p>
    <w:p w14:paraId="1FC1D212" w14:textId="77777777" w:rsidR="00DD6BFA" w:rsidRDefault="00DD6BFA" w:rsidP="0038502B">
      <w:pPr>
        <w:spacing w:line="480" w:lineRule="auto"/>
        <w:rPr>
          <w:rFonts w:ascii="Times New Roman" w:hAnsi="Times New Roman" w:cs="Times New Roman"/>
          <w:sz w:val="24"/>
          <w:szCs w:val="24"/>
        </w:rPr>
      </w:pPr>
    </w:p>
    <w:p w14:paraId="71CACA4B" w14:textId="3BFBDD22"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This finding is well supported by recent literature. Studies from Africa and other low- and middle-income settings have shown that national vaccination averages often conceal local pockets of low coverage and high outbreak risk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AFdlkxNN","properties":{"unsorted":false,"formattedCitation":"(13,22)","plainCitation":"(13,22)","noteIndex":0},"citationItems":[{"id":24064,"uris":["http://zotero.org/users/6223522/items/AILKQCKM"],"itemData":{"id":24064,"type":"article-journal","container-title":"BMC Medicine","DOI":"10.1186/s12916-020-01843-z","page":"2","title":"Vaccination strategies for measles control and elimination: time to strengthen local initiatives","volume":"19","author":[{"family":"Cutts","given":"F."},{"family":"Ferrari","given":"M."},{"family":"Krause","given":"L."},{"family":"Tatem","given":"A."},{"family":"Mosser","given":"J."}],"issued":{"date-parts":[["2021"]]}}},{"id":24056,"uris":["http://zotero.org/users/6223522/items/EI7RK3NH"],"itemData":{"id":24056,"type":"article-journal","container-title":"Nature","DOI":"10.1038/s41586-020-03043-4","page":"415-419","title":"Mapping routine measles vaccination in low- and middle-income countries","volume":"589","author":[{"family":"Abbasi","given":"A."},{"family":"Sbarra","given":"A."},{"family":"Rolfe","given":"S."},{"family":"Nguyen","given":"J. Q."},{"family":"Earl","given":"L."},{"family":"Galles","given":"N. C."},{"family":"Marks","given":"A."},{"family":"Abbas","given":"K."},{"family":"Abbasi-Kangevari","given":"M."},{"family":"Abbastabar","given":"H."},{"family":"Abd-Allah","given":"F."},{"family":"Abdelalim","given":"A."},{"family":"Abdollahi","given":"M."},{"family":"Abegaz","given":"K. H."},{"family":"Abiy","given":"H. A. A."},{"family":"Abolhassani","given":"H."},{"family":"Abreu","given":"L."},{"family":"Abrigo","given":"M. R."},{"family":"Abushouk","given":"A."},{"family":"Mosser","given":"J."}],"issued":{"date-parts":[["2020"]]}}}],"schema":"https://github.com/citation-style-language/schema/raw/master/csl-citation.json"}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(13,22)</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xml:space="preserve">. In the WHO African Region, ongoing transmission in 2022 and 2023 was linked not only to low routine coverage, but also to dropout between first and second doses, underperforming campaigns, and uneven surveillance performance across countries </w:t>
      </w:r>
      <w:r w:rsidRPr="0038502B">
        <w:rPr>
          <w:rFonts w:ascii="Times New Roman" w:hAnsi="Times New Roman" w:cs="Times New Roman"/>
          <w:sz w:val="24"/>
          <w:szCs w:val="24"/>
        </w:rPr>
        <w:lastRenderedPageBreak/>
        <w:t xml:space="preserve">and subnational areas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Ltuw4juf","properties":{"unsorted":false,"formattedCitation":"(12)","plainCitation":"(12)","noteIndex":0},"citationItems":[{"id":24070,"uris":["http://zotero.org/users/6223522/items/8B9B4QCF"],"itemData":{"id":24070,"type":"article-journal","container-title":"Vaccines","DOI":"10.3390/vaccines12080949","issue":"8","page":"949","title":"Tracking Measles and Rubella Elimination Progress—World Health Organization African Region, 2022–2023","volume":"12","author":[{"family":"Masresha","given":"B."},{"family":"Wiysonge","given":"C."},{"family":"Katsande","given":"R."},{"family":"O'Connor","given":"P."},{"family":"Lebo","given":"E. J."},{"family":"Perry","given":"R. T."}],"issued":{"date-parts":[["2024"]]}}}],"schema":"https://github.com/citation-style-language/schema/raw/master/csl-citation.json"}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(12)</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xml:space="preserve">. Malawi-specific evidence also points in the same direction. Mmanga and colleagues found that although coverage for some antigens appeared high, full vaccination coverage lagged behind and regional inequities remained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ZaS3LVdd","properties":{"unsorted":false,"formattedCitation":"(23)","plainCitation":"(23)","noteIndex":0},"citationItems":[{"id":24074,"uris":["http://zotero.org/users/6223522/items/SDXVVBIF"],"itemData":{"id":24074,"type":"article-journal","container-title":"International Health","DOI":"10.1093/inthealth/ihab038","page":"250-259","title":"Tracking immunization coverage, dropout and equity gaps among children ages 12–23 months in Malawi – bottleneck analysis of the Malawi Demographic and Health Survey","volume":"14","author":[{"family":"Mmanga","given":"K."},{"family":"Mwenyenkulu","given":"T."},{"family":"Nkoka","given":"O."},{"family":"Ntenda","given":"P. A. M."}],"issued":{"date-parts":[["2021"]]}}}],"schema":"https://github.com/citation-style-language/schema/raw/master/csl-citation.json"}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(23)</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The present findings therefore complement both regional and Malawi literature by showing that recent confirmed measles transmission was also spatially uneven.</w:t>
      </w:r>
    </w:p>
    <w:p w14:paraId="0612F3A3" w14:textId="77777777" w:rsidR="00677519" w:rsidRDefault="00677519" w:rsidP="0038502B">
      <w:pPr>
        <w:spacing w:line="480" w:lineRule="auto"/>
        <w:rPr>
          <w:rFonts w:ascii="Times New Roman" w:hAnsi="Times New Roman" w:cs="Times New Roman"/>
          <w:sz w:val="24"/>
          <w:szCs w:val="24"/>
        </w:rPr>
      </w:pPr>
    </w:p>
    <w:p w14:paraId="70E9D9A0" w14:textId="485F2B75" w:rsidR="00DD6BFA"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The wide district variation in this study likely reflects a combination of local immunity gaps, differences in transmission intensity, population movement, and differences in outbreak detection. </w:t>
      </w:r>
    </w:p>
    <w:p w14:paraId="2968F032" w14:textId="77777777" w:rsidR="00DD6BFA" w:rsidRDefault="00DD6BFA" w:rsidP="0038502B">
      <w:pPr>
        <w:spacing w:line="480" w:lineRule="auto"/>
        <w:rPr>
          <w:rFonts w:ascii="Times New Roman" w:hAnsi="Times New Roman" w:cs="Times New Roman"/>
          <w:sz w:val="24"/>
          <w:szCs w:val="24"/>
        </w:rPr>
      </w:pPr>
    </w:p>
    <w:p w14:paraId="0BBF9D34" w14:textId="7900E357"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However, some district estimates should be interpreted with caution because a number of districts contributed very small sample sizes. Districts with 100% positivity based on very few samples may indicate localized outbreaks, but they do not provide stable estimates of district-wide burden. Even with that caution, the broader pattern remains important. Similar studies in African settings have also found marked geographic heterogeneity in confirmed measles risk and surveillance performance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iumfbbDX","properties":{"unsorted":false,"formattedCitation":"(24,25)","plainCitation":"(24,25)","noteIndex":0},"citationItems":[{"id":24072,"uris":["http://zotero.org/users/6223522/items/7M2AJUUR"],"itemData":{"id":24072,"type":"article-journal","container-title":"Frontiers in Public Health","DOI":"10.3389/fpubh.2023.1218317","page":"1218317","title":"Epidemiology of confirmed measles virus cases, surveillance, incidence, and associated factors in Eritrea: 18-year retrospective analysis","volume":"11","author":[{"family":"Mengistu","given":"S."},{"family":"Achila","given":"O."},{"family":"Tewelde","given":"A. T."},{"family":"Hamida","given":"M. E."},{"family":"Tekle","given":"F."},{"family":"Michae","given":"I."},{"family":"Said","given":"M."},{"family":"Fsahatsion","given":"D."},{"family":"Abai","given":"H."},{"family":"Mulugeta","given":"R."},{"family":"Tsegai","given":"T."},{"family":"Woldu","given":"L. G."},{"family":"Werke","given":"W. Y."}],"issued":{"date-parts":[["2023"]]}}},{"id":24081,"uris":["http://zotero.org/users/6223522/items/DPTUQ882"],"itemData":{"id":24081,"type":"article-journal","container-title":"PLoS ONE","DOI":"10.1371/journal.pone.0258961","issue":"10","page":"e0258961","title":"Epidemiology of measles cases, vaccine effectiveness, and performance towards measles elimination in The Gambia","volume":"16","author":[{"family":"Sowe","given":"A."},{"family":"Njie","given":"M."},{"family":"Sowe","given":"D."},{"family":"Fofana","given":"S."},{"family":"Ceesay","given":"L."},{"family":"Camara","given":"Y."},{"family":"Tesfaye","given":"B."},{"family":"Bah","given":"S."},{"family":"Bah","given":"A. K."},{"family":"Baldeh","given":"A. K."},{"family":"Dampha","given":"B. D."},{"family":"Baldeh","given":"S. N."},{"family":"Touray","given":"A."}],"issued":{"date-parts":[["2021"]]}}}],"schema":"https://github.com/citation-style-language/schema/raw/master/csl-citation.json"}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(24,25)</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Programmatically, this means that district and regional data are essential for response planning, because national summaries alone may obscure where the burden is most concentrated.</w:t>
      </w:r>
    </w:p>
    <w:p w14:paraId="0243897B" w14:textId="77777777" w:rsidR="00DD6BFA" w:rsidRDefault="00DD6BFA" w:rsidP="0038502B">
      <w:pPr>
        <w:spacing w:line="480" w:lineRule="auto"/>
        <w:rPr>
          <w:rFonts w:ascii="Times New Roman" w:hAnsi="Times New Roman" w:cs="Times New Roman"/>
          <w:sz w:val="24"/>
          <w:szCs w:val="24"/>
        </w:rPr>
      </w:pPr>
    </w:p>
    <w:p w14:paraId="50FE9467" w14:textId="39D38289"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In relation to the conceptual framework, this is one of the clearest findings in the chapter. District of residence was explicitly proposed as a determinant of measles antibody outcome, and the analysis strongly supports that proposition. The regional and district patterns suggest that place was not simply a descriptive location variable. It likely captured deeper differences in vaccination </w:t>
      </w:r>
      <w:r w:rsidRPr="0038502B">
        <w:rPr>
          <w:rFonts w:ascii="Times New Roman" w:hAnsi="Times New Roman" w:cs="Times New Roman"/>
          <w:sz w:val="24"/>
          <w:szCs w:val="24"/>
        </w:rPr>
        <w:lastRenderedPageBreak/>
        <w:t>performance, outbreak propagation, access to health services, and surveillance intensity across Malawi.</w:t>
      </w:r>
    </w:p>
    <w:p w14:paraId="6D9FCCD1" w14:textId="77777777" w:rsidR="00DD6BFA" w:rsidRDefault="00DD6BFA" w:rsidP="0038502B">
      <w:pPr>
        <w:spacing w:line="480" w:lineRule="auto"/>
        <w:rPr>
          <w:rFonts w:ascii="Times New Roman" w:hAnsi="Times New Roman" w:cs="Times New Roman"/>
          <w:sz w:val="24"/>
          <w:szCs w:val="24"/>
        </w:rPr>
      </w:pPr>
    </w:p>
    <w:p w14:paraId="51901C51" w14:textId="57C79548"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In comparison with literature, the present result fits very closely with recent work showing that measles risk is highly localized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HQP7kFZ5","properties":{"unsorted":false,"formattedCitation":"(11,13,22)","plainCitation":"(11,13,22)","noteIndex":0},"citationItems":[{"id":24068,"uris":["http://zotero.org/users/6223522/items/CZZB8FWD"],"itemData":{"id":24068,"type":"article-journal","container-title":"Morbidity and Mortality Weekly Report","DOI":"10.15585/mmwr.mm7236a3","page":"985-991","title":"Progress Toward Measles Elimination — African Region, 2017–2021","volume":"72","author":[{"family":"Masresha","given":"B."},{"family":"Hatcher","given":"C."},{"family":"Lebo","given":"E. J."},{"family":"Tanifum","given":"P."},{"family":"Bwaka","given":"A."},{"family":"Minta","given":"A. A."},{"family":"Antoni","given":"S."},{"family":"Grant","given":"G. B."},{"family":"Perry","given":"R. T."},{"family":"O'Connor","given":"P."}],"issued":{"date-parts":[["2023"]]}}},{"id":24064,"uris":["http://zotero.org/users/6223522/items/AILKQCKM"],"itemData":{"id":24064,"type":"article-journal","container-title":"BMC Medicine","DOI":"10.1186/s12916-020-01843-z","page":"2","title":"Vaccination strategies for measles control and elimination: time to strengthen local initiatives","volume":"19","author":[{"family":"Cutts","given":"F."},{"family":"Ferrari","given":"M."},{"family":"Krause","given":"L."},{"family":"Tatem","given":"A."},{"family":"Mosser","given":"J."}],"issued":{"date-parts":[["2021"]]}}},{"id":24056,"uris":["http://zotero.org/users/6223522/items/EI7RK3NH"],"itemData":{"id":24056,"type":"article-journal","container-title":"Nature","DOI":"10.1038/s41586-020-03043-4","page":"415-419","title":"Mapping routine measles vaccination in low- and middle-income countries","volume":"589","author":[{"family":"Abbasi","given":"A."},{"family":"Sbarra","given":"A."},{"family":"Rolfe","given":"S."},{"family":"Nguyen","given":"J. Q."},{"family":"Earl","given":"L."},{"family":"Galles","given":"N. C."},{"family":"Marks","given":"A."},{"family":"Abbas","given":"K."},{"family":"Abbasi-Kangevari","given":"M."},{"family":"Abbastabar","given":"H."},{"family":"Abd-Allah","given":"F."},{"family":"Abdelalim","given":"A."},{"family":"Abdollahi","given":"M."},{"family":"Abegaz","given":"K. H."},{"family":"Abiy","given":"H. A. A."},{"family":"Abolhassani","given":"H."},{"family":"Abreu","given":"L."},{"family":"Abrigo","given":"M. R."},{"family":"Abushouk","given":"A."},{"family":"Mosser","given":"J."}],"issued":{"date-parts":[["2020"]]}}}],"schema":"https://github.com/citation-style-language/schema/raw/master/csl-citation.json"}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(11,13,22)</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xml:space="preserve">. It also aligns with Malawi-specific evidence that immunization performance is not evenly distributed across regions </w:t>
      </w:r>
      <w:r w:rsidR="00677519">
        <w:rPr>
          <w:rFonts w:ascii="Times New Roman" w:hAnsi="Times New Roman" w:cs="Times New Roman"/>
          <w:sz w:val="24"/>
          <w:szCs w:val="24"/>
        </w:rPr>
        <w:fldChar w:fldCharType="begin"/>
      </w:r>
      <w:r w:rsidR="00677519">
        <w:rPr>
          <w:rFonts w:ascii="Times New Roman" w:hAnsi="Times New Roman" w:cs="Times New Roman"/>
          <w:sz w:val="24"/>
          <w:szCs w:val="24"/>
        </w:rPr>
        <w:instrText xml:space="preserve"> ADDIN ZOTERO_ITEM CSL_CITATION {"citationID":"r9X5lo2t","properties":{"unsorted":false,"formattedCitation":"(23)","plainCitation":"(23)","noteIndex":0},"citationItems":[{"id":24074,"uris":["http://zotero.org/users/6223522/items/SDXVVBIF"],"itemData":{"id":24074,"type":"article-journal","container-title":"International Health","DOI":"10.1093/inthealth/ihab038","page":"250-259","title":"Tracking immunization coverage, dropout and equity gaps among children ages 12–23 months in Malawi – bottleneck analysis of the Malawi Demographic and Health Survey","volume":"14","author":[{"family":"Mmanga","given":"K."},{"family":"Mwenyenkulu","given":"T."},{"family":"Nkoka","given":"O."},{"family":"Ntenda","given":"P. A. M."}],"issued":{"date-parts":[["2021"]]}}}],"schema":"https://github.com/citation-style-language/schema/raw/master/csl-citation.json"} </w:instrText>
      </w:r>
      <w:r w:rsidR="00677519">
        <w:rPr>
          <w:rFonts w:ascii="Times New Roman" w:hAnsi="Times New Roman" w:cs="Times New Roman"/>
          <w:sz w:val="24"/>
          <w:szCs w:val="24"/>
        </w:rPr>
        <w:fldChar w:fldCharType="separate"/>
      </w:r>
      <w:r w:rsidR="00677519" w:rsidRPr="00677519">
        <w:rPr>
          <w:rFonts w:ascii="Times New Roman" w:hAnsi="Times New Roman" w:cs="Times New Roman"/>
          <w:sz w:val="24"/>
        </w:rPr>
        <w:t>(23)</w:t>
      </w:r>
      <w:r w:rsidR="00677519">
        <w:rPr>
          <w:rFonts w:ascii="Times New Roman" w:hAnsi="Times New Roman" w:cs="Times New Roman"/>
          <w:sz w:val="24"/>
          <w:szCs w:val="24"/>
        </w:rPr>
        <w:fldChar w:fldCharType="end"/>
      </w:r>
      <w:r w:rsidRPr="0038502B">
        <w:rPr>
          <w:rFonts w:ascii="Times New Roman" w:hAnsi="Times New Roman" w:cs="Times New Roman"/>
          <w:sz w:val="24"/>
          <w:szCs w:val="24"/>
        </w:rPr>
        <w:t>. The current study therefore strengthens rather than challenges the existing literature by showing that subnational variation in vaccination and surveillance is mirrored by subnational variation in confirmed measles positivity.</w:t>
      </w:r>
    </w:p>
    <w:p w14:paraId="4E08FE22" w14:textId="77777777" w:rsidR="00DD6BFA" w:rsidRDefault="00DD6BFA" w:rsidP="0038502B">
      <w:pPr>
        <w:spacing w:line="480" w:lineRule="auto"/>
        <w:rPr>
          <w:rFonts w:ascii="Times New Roman" w:hAnsi="Times New Roman" w:cs="Times New Roman"/>
          <w:b/>
          <w:bCs/>
          <w:sz w:val="24"/>
          <w:szCs w:val="24"/>
        </w:rPr>
      </w:pPr>
      <w:bookmarkStart w:id="111" w:name="_Toc232772272"/>
      <w:bookmarkEnd w:id="110"/>
    </w:p>
    <w:p w14:paraId="209B34A8" w14:textId="5F65606B" w:rsidR="00337FEF" w:rsidRPr="0038502B" w:rsidRDefault="00337FEF" w:rsidP="00DD6BFA">
      <w:pPr>
        <w:pStyle w:val="Heading2"/>
      </w:pPr>
      <w:bookmarkStart w:id="112" w:name="_Toc232844552"/>
      <w:bookmarkStart w:id="113" w:name="_Toc232850337"/>
      <w:r w:rsidRPr="0038502B">
        <w:t>Strengths and limitations</w:t>
      </w:r>
      <w:bookmarkEnd w:id="111"/>
      <w:bookmarkEnd w:id="112"/>
      <w:bookmarkEnd w:id="113"/>
    </w:p>
    <w:p w14:paraId="7D3FD3B7" w14:textId="77777777"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This study has several strengths. It used recent national surveillance and laboratory data, included multiple districts, and relied on laboratory-confirmed measles IgM results rather than clinical suspicion alone. These features make the findings useful for understanding recent measles transmission patterns in Malawi. In addition, the study examined the outcome in relation to variables identified in the conceptual framework, which gave the analysis a clear structure.</w:t>
      </w:r>
    </w:p>
    <w:p w14:paraId="515C28E1" w14:textId="77777777" w:rsidR="00DD6BFA" w:rsidRDefault="00DD6BFA" w:rsidP="0038502B">
      <w:pPr>
        <w:spacing w:line="480" w:lineRule="auto"/>
        <w:rPr>
          <w:rFonts w:ascii="Times New Roman" w:hAnsi="Times New Roman" w:cs="Times New Roman"/>
          <w:sz w:val="24"/>
          <w:szCs w:val="24"/>
        </w:rPr>
      </w:pPr>
    </w:p>
    <w:p w14:paraId="14AA06A6" w14:textId="08CF0812"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The limitations are equally important. Because the study population consisted of suspected cases submitted for testing, the findings cannot be generalized to the whole population as an estimate of protective immunity. </w:t>
      </w:r>
      <w:r w:rsidR="005D081F">
        <w:rPr>
          <w:rFonts w:ascii="Times New Roman" w:hAnsi="Times New Roman" w:cs="Times New Roman"/>
          <w:sz w:val="24"/>
          <w:szCs w:val="24"/>
        </w:rPr>
        <w:t>A</w:t>
      </w:r>
      <w:r w:rsidRPr="0038502B">
        <w:rPr>
          <w:rFonts w:ascii="Times New Roman" w:hAnsi="Times New Roman" w:cs="Times New Roman"/>
          <w:sz w:val="24"/>
          <w:szCs w:val="24"/>
        </w:rPr>
        <w:t>lthough vaccination status, sample condition, and time between sample collection and testing were included in the conceptual framework, they were not fully developed in the final reported results. This means the framework was only partly tested by the available evidence.</w:t>
      </w:r>
    </w:p>
    <w:p w14:paraId="2706F97C" w14:textId="77777777" w:rsidR="00DD6BFA" w:rsidRDefault="00DD6BFA" w:rsidP="0038502B">
      <w:pPr>
        <w:spacing w:line="480" w:lineRule="auto"/>
        <w:rPr>
          <w:rFonts w:ascii="Times New Roman" w:hAnsi="Times New Roman" w:cs="Times New Roman"/>
          <w:b/>
          <w:bCs/>
          <w:sz w:val="24"/>
          <w:szCs w:val="24"/>
        </w:rPr>
      </w:pPr>
      <w:bookmarkStart w:id="114" w:name="strengths-and-limitations"/>
      <w:bookmarkStart w:id="115" w:name="_Toc232772273"/>
      <w:bookmarkEnd w:id="114"/>
    </w:p>
    <w:p w14:paraId="59CDC8D3" w14:textId="2D7FC9EF" w:rsidR="00337FEF" w:rsidRPr="0038502B" w:rsidRDefault="00337FEF" w:rsidP="00DD6BFA">
      <w:pPr>
        <w:pStyle w:val="Heading2"/>
      </w:pPr>
      <w:bookmarkStart w:id="116" w:name="_Toc232844553"/>
      <w:bookmarkStart w:id="117" w:name="_Toc232850338"/>
      <w:r w:rsidRPr="0038502B">
        <w:t>Public health implications</w:t>
      </w:r>
      <w:bookmarkEnd w:id="115"/>
      <w:bookmarkEnd w:id="116"/>
      <w:bookmarkEnd w:id="117"/>
    </w:p>
    <w:p w14:paraId="469E1B2C" w14:textId="55FF09CA"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The findings of this study have several implications when considered together. The high overall IgM positivity and the late-2024 peak suggest that measles remained an active outbreak threat during the study period. This means Malawi</w:t>
      </w:r>
      <w:r w:rsidR="0038502B" w:rsidRPr="0038502B">
        <w:rPr>
          <w:rFonts w:ascii="Times New Roman" w:hAnsi="Times New Roman" w:cs="Times New Roman"/>
          <w:sz w:val="24"/>
          <w:szCs w:val="24"/>
        </w:rPr>
        <w:t>’</w:t>
      </w:r>
      <w:r w:rsidRPr="0038502B">
        <w:rPr>
          <w:rFonts w:ascii="Times New Roman" w:hAnsi="Times New Roman" w:cs="Times New Roman"/>
          <w:sz w:val="24"/>
          <w:szCs w:val="24"/>
        </w:rPr>
        <w:t>s measles control efforts cannot rely on routine coverage figures alone, but must continue to strengthen case-based surveillance, rapid laboratory confirmation, and timely outbreak response</w:t>
      </w:r>
      <w:r w:rsidR="005D081F">
        <w:rPr>
          <w:rFonts w:ascii="Times New Roman" w:hAnsi="Times New Roman" w:cs="Times New Roman"/>
          <w:sz w:val="24"/>
          <w:szCs w:val="24"/>
        </w:rPr>
        <w:t xml:space="preserve"> </w:t>
      </w:r>
      <w:r w:rsidR="005D081F">
        <w:rPr>
          <w:rFonts w:ascii="Times New Roman" w:hAnsi="Times New Roman" w:cs="Times New Roman"/>
          <w:sz w:val="24"/>
          <w:szCs w:val="24"/>
        </w:rPr>
        <w:fldChar w:fldCharType="begin"/>
      </w:r>
      <w:r w:rsidR="005D081F">
        <w:rPr>
          <w:rFonts w:ascii="Times New Roman" w:hAnsi="Times New Roman" w:cs="Times New Roman"/>
          <w:sz w:val="24"/>
          <w:szCs w:val="24"/>
        </w:rPr>
        <w:instrText xml:space="preserve"> ADDIN ZOTERO_ITEM CSL_CITATION {"citationID":"J39MHB19","properties":{"unsorted":false,"formattedCitation":"(3,11,26)","plainCitation":"(3,11,26)","noteIndex":0},"citationItems":[{"id":24073,"uris":["http://zotero.org/users/6223522/items/Q6FK6C78"],"itemData":{"id":24073,"type":"article-journal","container-title":"Morbidity and Mortality Weekly Report","DOI":"10.15585/mmwr.mm7345a4","issue":"45","page":"1036-1042","title":"Progress Toward Measles Elimination — Worldwide, 2000–2023","volume":"73","author":[{"family":"Minta","given":"A. A."},{"family":"Ferrari","given":"M."},{"family":"Antoni","given":"S."},{"family":"Lambert","given":"B."},{"family":"Sayi","given":"T. S."},{"family":"Hsu","given":"C. H."},{"family":"Steulet","given":"C."},{"family":"Gacic-Dobo","given":"M."},{"family":"Rota","given":"P. A."},{"family":"Mulders","given":"M."},{"family":"Wimmer","given":"A."},{"family":"Bose","given":"A."},{"family":"O'Connor","given":"P."},{"family":"Crowcroft","given":"N."}],"issued":{"date-parts":[["2024"]]}}},{"id":24068,"uris":["http://zotero.org/users/6223522/items/CZZB8FWD"],"itemData":{"id":24068,"type":"article-journal","container-title":"Morbidity and Mortality Weekly Report","DOI":"10.15585/mmwr.mm7236a3","page":"985-991","title":"Progress Toward Measles Elimination — African Region, 2017–2021","volume":"72","author":[{"family":"Masresha","given":"B."},{"family":"Hatcher","given":"C."},{"family":"Lebo","given":"E. J."},{"family":"Tanifum","given":"P."},{"family":"Bwaka","given":"A."},{"family":"Minta","given":"A. A."},{"family":"Antoni","given":"S."},{"family":"Grant","given":"G. B."},{"family":"Perry","given":"R. T."},{"family":"O'Connor","given":"P."}],"issued":{"date-parts":[["2023"]]}}},{"id":24093,"uris":["http://zotero.org/users/6223522/items/7JC8J72H"],"itemData":{"id":24093,"type":"article-journal","container-title":"Morbidity and Mortality Weekly Report","DOI":"10.15585/mmwr.mm7147a1","page":"1489-1495","title":"Progress toward regional measles elimination worldwide, 2000–2021","volume":"71","author":[{"family":"Minta","given":"A. A."},{"family":"Ferrari","given":"M."},{"family":"Antoni","given":"S."},{"family":"Lambert","given":"B."},{"family":"Sayi","given":"T. S."},{"family":"Hsu","given":"C. H."},{"family":"Steulet","given":"C."},{"family":"Gacic-Dobo","given":"M."},{"family":"Rota","given":"P. A."},{"family":"Mulders","given":"M."},{"family":"Wimmer","given":"A."},{"family":"Bose","given":"A."},{"family":"O'Connor","given":"P."},{"family":"Crowcroft","given":"N."}],"issued":{"date-parts":[["2022"]]}}}],"schema":"https://github.com/citation-style-language/schema/raw/master/csl-citation.json"} </w:instrText>
      </w:r>
      <w:r w:rsidR="005D081F">
        <w:rPr>
          <w:rFonts w:ascii="Times New Roman" w:hAnsi="Times New Roman" w:cs="Times New Roman"/>
          <w:sz w:val="24"/>
          <w:szCs w:val="24"/>
        </w:rPr>
        <w:fldChar w:fldCharType="separate"/>
      </w:r>
      <w:r w:rsidR="005D081F" w:rsidRPr="005D081F">
        <w:rPr>
          <w:rFonts w:ascii="Times New Roman" w:hAnsi="Times New Roman" w:cs="Times New Roman"/>
          <w:sz w:val="24"/>
        </w:rPr>
        <w:t>(3,11,26)</w:t>
      </w:r>
      <w:r w:rsidR="005D081F">
        <w:rPr>
          <w:rFonts w:ascii="Times New Roman" w:hAnsi="Times New Roman" w:cs="Times New Roman"/>
          <w:sz w:val="24"/>
          <w:szCs w:val="24"/>
        </w:rPr>
        <w:fldChar w:fldCharType="end"/>
      </w:r>
      <w:r w:rsidRPr="0038502B">
        <w:rPr>
          <w:rFonts w:ascii="Times New Roman" w:hAnsi="Times New Roman" w:cs="Times New Roman"/>
          <w:sz w:val="24"/>
          <w:szCs w:val="24"/>
        </w:rPr>
        <w:t>.</w:t>
      </w:r>
    </w:p>
    <w:p w14:paraId="29840689" w14:textId="77777777" w:rsidR="00DD6BFA" w:rsidRDefault="00DD6BFA" w:rsidP="0038502B">
      <w:pPr>
        <w:spacing w:line="480" w:lineRule="auto"/>
        <w:rPr>
          <w:rFonts w:ascii="Times New Roman" w:hAnsi="Times New Roman" w:cs="Times New Roman"/>
          <w:sz w:val="24"/>
          <w:szCs w:val="24"/>
        </w:rPr>
      </w:pPr>
    </w:p>
    <w:p w14:paraId="3A853CA1" w14:textId="4BFDEC33" w:rsidR="00337FEF"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 xml:space="preserve">The age, sex, and geographic findings also point to the need for more focused action. The concentration of cases among infants younger than nine months highlights a vulnerable group that depends on both maternal immunity and low community transmission for protection </w:t>
      </w:r>
      <w:r w:rsidR="005D081F">
        <w:rPr>
          <w:rFonts w:ascii="Times New Roman" w:hAnsi="Times New Roman" w:cs="Times New Roman"/>
          <w:sz w:val="24"/>
          <w:szCs w:val="24"/>
        </w:rPr>
        <w:fldChar w:fldCharType="begin"/>
      </w:r>
      <w:r w:rsidR="005D081F">
        <w:rPr>
          <w:rFonts w:ascii="Times New Roman" w:hAnsi="Times New Roman" w:cs="Times New Roman"/>
          <w:sz w:val="24"/>
          <w:szCs w:val="24"/>
        </w:rPr>
        <w:instrText xml:space="preserve"> ADDIN ZOTERO_ITEM CSL_CITATION {"citationID":"T4O2f2ZI","properties":{"unsorted":false,"formattedCitation":"(17\\uc0\\u8211{}19,21)","plainCitation":"(17–19,21)","noteIndex":0},"citationItems":[{"id":24087,"uris":["http://zotero.org/users/6223522/items/KGBEFB3T"],"itemData":{"id":24087,"type":"article-journal","container-title":"Tropical Medicine &amp; International Health","DOI":"10.1111/tmi.13920","issue":"9","page":"731-735","title":"Insufficient measles antibody protection in 6-month-old Malawian infants: Reconsider vaccination schedule?","volume":"28","author":[{"family":"Baroncelli","given":"S."},{"family":"Galluzzo","given":"C."},{"family":"Orlando","given":"S."},{"family":"Luhanga","given":"R."},{"family":"Mphwere","given":"R."},{"family":"Kavalo","given":"T."},{"family":"Amici","given":"R."},{"family":"Floridia","given":"M."},{"family":"Andreotti","given":"M."},{"family":"Ciccacci","given":"F."},{"family":"Marazzi","given":"M."},{"family":"Giuliano","given":"M."}],"issued":{"date-parts":[["2023"]]}}},{"id":24095,"uris":["http://zotero.org/users/6223522/items/CLRSK4NA"],"itemData":{"id":24095,"type":"article-journal","container-title":"Journal of Infectious Diseases","DOI":"10.1093/infdis/jiaf177","title":"Measles seroprevalence in infants under nine months in LMICs","author":[{"family":"Ong","given":"D. S."},{"family":"Mollendorf","given":"C.","dropping-particle":"von"},{"family":"Mulholland","given":"K."},{"family":"Do","given":"L. A. H."}],"issued":{"date-parts":[["2025"]]}}},{"id":24083,"uris":["http://zotero.org/users/6223522/items/BXT68VB7"],"itemData":{"id":24083,"type":"article-journal","container-title":"Vaccine","DOI":"10.1016/j.vaccine.2025.127187","page":"127187","title":"What is the current evidence base for measles vaccination earlier than 9 months of age?: Report from an informal technical consultation of the World Health Organization","volume":"57","author":[{"family":"Varma","given":"A."},{"family":"Bolotin","given":"S."},{"family":"Serres","given":"G. D."},{"family":"Didierlaurent","given":"A. M."},{"family":"Earle","given":"K."},{"family":"Frey","given":"K."},{"family":"Hahné","given":"S."},{"family":"Kapelus","given":"D."},{"family":"Krause","given":"L. K."},{"family":"McCarthy","given":"K."},{"family":"Moss","given":"W. J."},{"family":"Orenstein","given":"W."},{"family":"Binnendijk","given":"R.","dropping-particle":"van"},{"family":"Vittrup","given":"D. M."},{"family":"Voysey","given":"M."},{"family":"Woudenberg","given":"T."},{"family":"Bar-Zeev","given":"N."},{"family":"Bose","given":"A."},{"family":"Hombach","given":"J."},{"family":"Crowcroft","given":"N. S."}],"issued":{"date-parts":[["2025"]]}}},{"id":24075,"uris":["http://zotero.org/users/6223522/items/KIQH3THS"],"itemData":{"id":24075,"type":"article-journal","container-title":"The Journal of Infectious Diseases","DOI":"10.1093/infdis/jiaf177","title":"Measles seroprevalence in infants under nine months of age in low- and middle-income countries: a systematic review and meta-analysis","author":[{"family":"Ong","given":"D. S."},{"family":"Mollendorf","given":"C.","dropping-particle":"von"},{"family":"Mulholland","given":"K."},{"family":"Do","given":"L. A. H."}],"issued":{"date-parts":[["2025"]]}}}],"schema":"https://github.com/citation-style-language/schema/raw/master/csl-citation.json"} </w:instrText>
      </w:r>
      <w:r w:rsidR="005D081F">
        <w:rPr>
          <w:rFonts w:ascii="Times New Roman" w:hAnsi="Times New Roman" w:cs="Times New Roman"/>
          <w:sz w:val="24"/>
          <w:szCs w:val="24"/>
        </w:rPr>
        <w:fldChar w:fldCharType="separate"/>
      </w:r>
      <w:r w:rsidR="005D081F" w:rsidRPr="005D081F">
        <w:rPr>
          <w:rFonts w:ascii="Times New Roman" w:hAnsi="Times New Roman" w:cs="Times New Roman"/>
          <w:sz w:val="24"/>
        </w:rPr>
        <w:t>(17–19,21)</w:t>
      </w:r>
      <w:r w:rsidR="005D081F">
        <w:rPr>
          <w:rFonts w:ascii="Times New Roman" w:hAnsi="Times New Roman" w:cs="Times New Roman"/>
          <w:sz w:val="24"/>
          <w:szCs w:val="24"/>
        </w:rPr>
        <w:fldChar w:fldCharType="end"/>
      </w:r>
      <w:r w:rsidRPr="0038502B">
        <w:rPr>
          <w:rFonts w:ascii="Times New Roman" w:hAnsi="Times New Roman" w:cs="Times New Roman"/>
          <w:sz w:val="24"/>
          <w:szCs w:val="24"/>
        </w:rPr>
        <w:t xml:space="preserve">. The higher odds of positivity among males suggest that surveillance data should be examined more carefully for sex-related patterns in exposure or case detection. The strong regional and district variation shows that interventions should be tailored geographically, with closer attention to high-burden districts and areas where immunity gaps may be accumulating </w:t>
      </w:r>
      <w:r w:rsidR="005D081F">
        <w:rPr>
          <w:rFonts w:ascii="Times New Roman" w:hAnsi="Times New Roman" w:cs="Times New Roman"/>
          <w:sz w:val="24"/>
          <w:szCs w:val="24"/>
        </w:rPr>
        <w:fldChar w:fldCharType="begin"/>
      </w:r>
      <w:r w:rsidR="005D081F">
        <w:rPr>
          <w:rFonts w:ascii="Times New Roman" w:hAnsi="Times New Roman" w:cs="Times New Roman"/>
          <w:sz w:val="24"/>
          <w:szCs w:val="24"/>
        </w:rPr>
        <w:instrText xml:space="preserve"> ADDIN ZOTERO_ITEM CSL_CITATION {"citationID":"cOSrJlN1","properties":{"unsorted":false,"formattedCitation":"(13,22,23)","plainCitation":"(13,22,23)","noteIndex":0},"citationItems":[{"id":24064,"uris":["http://zotero.org/users/6223522/items/AILKQCKM"],"itemData":{"id":24064,"type":"article-journal","container-title":"BMC Medicine","DOI":"10.1186/s12916-020-01843-z","page":"2","title":"Vaccination strategies for measles control and elimination: time to strengthen local initiatives","volume":"19","author":[{"family":"Cutts","given":"F."},{"family":"Ferrari","given":"M."},{"family":"Krause","given":"L."},{"family":"Tatem","given":"A."},{"family":"Mosser","given":"J."}],"issued":{"date-parts":[["2021"]]}}},{"id":24056,"uris":["http://zotero.org/users/6223522/items/EI7RK3NH"],"itemData":{"id":24056,"type":"article-journal","container-title":"Nature","DOI":"10.1038/s41586-020-03043-4","page":"415-419","title":"Mapping routine measles vaccination in low- and middle-income countries","volume":"589","author":[{"family":"Abbasi","given":"A."},{"family":"Sbarra","given":"A."},{"family":"Rolfe","given":"S."},{"family":"Nguyen","given":"J. Q."},{"family":"Earl","given":"L."},{"family":"Galles","given":"N. C."},{"family":"Marks","given":"A."},{"family":"Abbas","given":"K."},{"family":"Abbasi-Kangevari","given":"M."},{"family":"Abbastabar","given":"H."},{"family":"Abd-Allah","given":"F."},{"family":"Abdelalim","given":"A."},{"family":"Abdollahi","given":"M."},{"family":"Abegaz","given":"K. H."},{"family":"Abiy","given":"H. A. A."},{"family":"Abolhassani","given":"H."},{"family":"Abreu","given":"L."},{"family":"Abrigo","given":"M. R."},{"family":"Abushouk","given":"A."},{"family":"Mosser","given":"J."}],"issued":{"date-parts":[["2020"]]}}},{"id":24074,"uris":["http://zotero.org/users/6223522/items/SDXVVBIF"],"itemData":{"id":24074,"type":"article-journal","container-title":"International Health","DOI":"10.1093/inthealth/ihab038","page":"250-259","title":"Tracking immunization coverage, dropout and equity gaps among children ages 12–23 months in Malawi – bottleneck analysis of the Malawi Demographic and Health Survey","volume":"14","author":[{"family":"Mmanga","given":"K."},{"family":"Mwenyenkulu","given":"T."},{"family":"Nkoka","given":"O."},{"family":"Ntenda","given":"P. A. M."}],"issued":{"date-parts":[["2021"]]}}}],"schema":"https://github.com/citation-style-language/schema/raw/master/csl-citation.json"} </w:instrText>
      </w:r>
      <w:r w:rsidR="005D081F">
        <w:rPr>
          <w:rFonts w:ascii="Times New Roman" w:hAnsi="Times New Roman" w:cs="Times New Roman"/>
          <w:sz w:val="24"/>
          <w:szCs w:val="24"/>
        </w:rPr>
        <w:fldChar w:fldCharType="separate"/>
      </w:r>
      <w:r w:rsidR="005D081F" w:rsidRPr="005D081F">
        <w:rPr>
          <w:rFonts w:ascii="Times New Roman" w:hAnsi="Times New Roman" w:cs="Times New Roman"/>
          <w:sz w:val="24"/>
        </w:rPr>
        <w:t>(13,22,23)</w:t>
      </w:r>
      <w:r w:rsidR="005D081F">
        <w:rPr>
          <w:rFonts w:ascii="Times New Roman" w:hAnsi="Times New Roman" w:cs="Times New Roman"/>
          <w:sz w:val="24"/>
          <w:szCs w:val="24"/>
        </w:rPr>
        <w:fldChar w:fldCharType="end"/>
      </w:r>
      <w:r w:rsidRPr="0038502B">
        <w:rPr>
          <w:rFonts w:ascii="Times New Roman" w:hAnsi="Times New Roman" w:cs="Times New Roman"/>
          <w:sz w:val="24"/>
          <w:szCs w:val="24"/>
        </w:rPr>
        <w:t>.</w:t>
      </w:r>
    </w:p>
    <w:p w14:paraId="33A6E521" w14:textId="77777777" w:rsidR="005D081F" w:rsidRPr="0038502B" w:rsidRDefault="005D081F" w:rsidP="0038502B">
      <w:pPr>
        <w:spacing w:line="480" w:lineRule="auto"/>
        <w:rPr>
          <w:rFonts w:ascii="Times New Roman" w:hAnsi="Times New Roman" w:cs="Times New Roman"/>
          <w:sz w:val="24"/>
          <w:szCs w:val="24"/>
        </w:rPr>
      </w:pPr>
    </w:p>
    <w:p w14:paraId="2473B792" w14:textId="77777777"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Taken together, these findings suggest that measles control in Malawi will benefit most from combining strong routine immunization, close district-level surveillance review, and rapid response to localized increases in confirmed cases. The study therefore supports a practical shift from broad national interpretation toward more targeted use of surveillance evidence in planning and response.</w:t>
      </w:r>
    </w:p>
    <w:p w14:paraId="719F54EF" w14:textId="77777777" w:rsidR="00DD6BFA" w:rsidRDefault="00DD6BFA" w:rsidP="0038502B">
      <w:pPr>
        <w:spacing w:line="480" w:lineRule="auto"/>
        <w:rPr>
          <w:rFonts w:ascii="Times New Roman" w:hAnsi="Times New Roman" w:cs="Times New Roman"/>
          <w:b/>
          <w:bCs/>
          <w:sz w:val="24"/>
          <w:szCs w:val="24"/>
        </w:rPr>
      </w:pPr>
      <w:bookmarkStart w:id="118" w:name="public-health-implications"/>
      <w:bookmarkStart w:id="119" w:name="_Toc232772274"/>
      <w:bookmarkEnd w:id="118"/>
    </w:p>
    <w:p w14:paraId="06560FAB" w14:textId="67EA15C4" w:rsidR="00337FEF" w:rsidRPr="0038502B" w:rsidRDefault="00337FEF" w:rsidP="00DD6BFA">
      <w:pPr>
        <w:pStyle w:val="Heading2"/>
      </w:pPr>
      <w:bookmarkStart w:id="120" w:name="_Toc232844554"/>
      <w:bookmarkStart w:id="121" w:name="_Toc232850339"/>
      <w:r w:rsidRPr="0038502B">
        <w:t>Summary of discussion</w:t>
      </w:r>
      <w:bookmarkEnd w:id="119"/>
      <w:bookmarkEnd w:id="120"/>
      <w:bookmarkEnd w:id="121"/>
    </w:p>
    <w:p w14:paraId="2EA3CC5E" w14:textId="2D9F811D"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lastRenderedPageBreak/>
        <w:t xml:space="preserve">Overall, the discussion shows that the findings largely align with recent literature published between 2020 and 2026. The high IgM positivity and the late-2024 rise are consistent with renewed measles transmission in the African Region and globally </w:t>
      </w:r>
      <w:r w:rsidR="004D10AE">
        <w:rPr>
          <w:rFonts w:ascii="Times New Roman" w:hAnsi="Times New Roman" w:cs="Times New Roman"/>
          <w:sz w:val="24"/>
          <w:szCs w:val="24"/>
        </w:rPr>
        <w:fldChar w:fldCharType="begin"/>
      </w:r>
      <w:r w:rsidR="004D10AE">
        <w:rPr>
          <w:rFonts w:ascii="Times New Roman" w:hAnsi="Times New Roman" w:cs="Times New Roman"/>
          <w:sz w:val="24"/>
          <w:szCs w:val="24"/>
        </w:rPr>
        <w:instrText xml:space="preserve"> ADDIN ZOTERO_ITEM CSL_CITATION {"citationID":"mwIwKSWg","properties":{"unsorted":false,"formattedCitation":"(3,22)","plainCitation":"(3,22)","noteIndex":0},"citationItems":[{"id":24073,"uris":["http://zotero.org/users/6223522/items/Q6FK6C78"],"itemData":{"id":24073,"type":"article-journal","container-title":"Morbidity and Mortality Weekly Report","DOI":"10.15585/mmwr.mm7345a4","issue":"45","page":"1036-1042","title":"Progress Toward Measles Elimination — Worldwide, 2000–2023","volume":"73","author":[{"family":"Minta","given":"A. A."},{"family":"Ferrari","given":"M."},{"family":"Antoni","given":"S."},{"family":"Lambert","given":"B."},{"family":"Sayi","given":"T. S."},{"family":"Hsu","given":"C. H."},{"family":"Steulet","given":"C."},{"family":"Gacic-Dobo","given":"M."},{"family":"Rota","given":"P. A."},{"family":"Mulders","given":"M."},{"family":"Wimmer","given":"A."},{"family":"Bose","given":"A."},{"family":"O'Connor","given":"P."},{"family":"Crowcroft","given":"N."}],"issued":{"date-parts":[["2024"]]}}},{"id":24056,"uris":["http://zotero.org/users/6223522/items/EI7RK3NH"],"itemData":{"id":24056,"type":"article-journal","container-title":"Nature","DOI":"10.1038/s41586-020-03043-4","page":"415-419","title":"Mapping routine measles vaccination in low- and middle-income countries","volume":"589","author":[{"family":"Abbasi","given":"A."},{"family":"Sbarra","given":"A."},{"family":"Rolfe","given":"S."},{"family":"Nguyen","given":"J. Q."},{"family":"Earl","given":"L."},{"family":"Galles","given":"N. C."},{"family":"Marks","given":"A."},{"family":"Abbas","given":"K."},{"family":"Abbasi-Kangevari","given":"M."},{"family":"Abbastabar","given":"H."},{"family":"Abd-Allah","given":"F."},{"family":"Abdelalim","given":"A."},{"family":"Abdollahi","given":"M."},{"family":"Abegaz","given":"K. H."},{"family":"Abiy","given":"H. A. A."},{"family":"Abolhassani","given":"H."},{"family":"Abreu","given":"L."},{"family":"Abrigo","given":"M. R."},{"family":"Abushouk","given":"A."},{"family":"Mosser","given":"J."}],"issued":{"date-parts":[["2020"]]}}}],"schema":"https://github.com/citation-style-language/schema/raw/master/csl-citation.json"} </w:instrText>
      </w:r>
      <w:r w:rsidR="004D10AE">
        <w:rPr>
          <w:rFonts w:ascii="Times New Roman" w:hAnsi="Times New Roman" w:cs="Times New Roman"/>
          <w:sz w:val="24"/>
          <w:szCs w:val="24"/>
        </w:rPr>
        <w:fldChar w:fldCharType="separate"/>
      </w:r>
      <w:r w:rsidR="004D10AE" w:rsidRPr="004D10AE">
        <w:rPr>
          <w:rFonts w:ascii="Times New Roman" w:hAnsi="Times New Roman" w:cs="Times New Roman"/>
          <w:sz w:val="24"/>
        </w:rPr>
        <w:t>(3,22)</w:t>
      </w:r>
      <w:r w:rsidR="004D10AE">
        <w:rPr>
          <w:rFonts w:ascii="Times New Roman" w:hAnsi="Times New Roman" w:cs="Times New Roman"/>
          <w:sz w:val="24"/>
          <w:szCs w:val="24"/>
        </w:rPr>
        <w:fldChar w:fldCharType="end"/>
      </w:r>
      <w:r w:rsidR="004D10AE">
        <w:rPr>
          <w:rFonts w:ascii="Times New Roman" w:hAnsi="Times New Roman" w:cs="Times New Roman"/>
          <w:sz w:val="24"/>
          <w:szCs w:val="24"/>
        </w:rPr>
        <w:t xml:space="preserve">. </w:t>
      </w:r>
      <w:r w:rsidRPr="0038502B">
        <w:rPr>
          <w:rFonts w:ascii="Times New Roman" w:hAnsi="Times New Roman" w:cs="Times New Roman"/>
          <w:sz w:val="24"/>
          <w:szCs w:val="24"/>
        </w:rPr>
        <w:t xml:space="preserve">The concentration of cases among infants younger than nine months fits current evidence on waning maternal antibodies and early infant susceptibility </w:t>
      </w:r>
      <w:r w:rsidR="004D10AE">
        <w:rPr>
          <w:rFonts w:ascii="Times New Roman" w:hAnsi="Times New Roman" w:cs="Times New Roman"/>
          <w:sz w:val="24"/>
          <w:szCs w:val="24"/>
        </w:rPr>
        <w:fldChar w:fldCharType="begin"/>
      </w:r>
      <w:r w:rsidR="00864692">
        <w:rPr>
          <w:rFonts w:ascii="Times New Roman" w:hAnsi="Times New Roman" w:cs="Times New Roman"/>
          <w:sz w:val="24"/>
          <w:szCs w:val="24"/>
        </w:rPr>
        <w:instrText xml:space="preserve"> ADDIN ZOTERO_ITEM CSL_CITATION {"citationID":"Zahd0PDf","properties":{"unsorted":false,"formattedCitation":"(19\\uc0\\u8211{}21)","plainCitation":"(19–21)","noteIndex":0},"citationItems":[{"id":24083,"uris":["http://zotero.org/users/6223522/items/BXT68VB7"],"itemData":{"id":24083,"type":"article-journal","container-title":"Vaccine","DOI":"10.1016/j.vaccine.2025.127187","page":"127187","title":"What is the current evidence base for measles vaccination earlier than 9 months of age?: Report from an informal technical consultation of the World Health Organization","volume":"57","author":[{"family":"Varma","given":"A."},{"family":"Bolotin","given":"S."},{"family":"Serres","given":"G. D."},{"family":"Didierlaurent","given":"A. M."},{"family":"Earle","given":"K."},{"family":"Frey","given":"K."},{"family":"Hahné","given":"S."},{"family":"Kapelus","given":"D."},{"family":"Krause","given":"L. K."},{"family":"McCarthy","given":"K."},{"family":"Moss","given":"W. J."},{"family":"Orenstein","given":"W."},{"family":"Binnendijk","given":"R.","dropping-particle":"van"},{"family":"Vittrup","given":"D. M."},{"family":"Voysey","given":"M."},{"family":"Woudenberg","given":"T."},{"family":"Bar-Zeev","given":"N."},{"family":"Bose","given":"A."},{"family":"Hombach","given":"J."},{"family":"Crowcroft","given":"N. S."}],"issued":{"date-parts":[["2025"]]}}},{"id":24058,"uris":["http://zotero.org/users/6223522/items/HTXEHB7K"],"itemData":{"id":24058,"type":"article-journal","container-title":"Tropical Medicine &amp; International Health","DOI":"10.1111/tmi.13920","page":"731-735","title":"Insufficient measles antibody protection in 6‐month‐old Malawian infants: Reconsider vaccination schedule?","volume":"28","author":[{"family":"Baroncelli","given":"S."},{"family":"Galluzzo","given":"C."},{"family":"Orlando","given":"S."},{"family":"Luhanga","given":"R."},{"family":"Mphwere","given":"R."},{"family":"Kavalo","given":"T."},{"family":"Amici","given":"R."},{"family":"Floridia","given":"M."},{"family":"Andreotti","given":"M."},{"family":"Ciccacci","given":"F."},{"family":"Marazzi","given":"M."},{"family":"Giuliano","given":"M."}],"issued":{"date-parts":[["2023"]]}}},{"id":24075,"uris":["http://zotero.org/users/6223522/items/KIQH3THS"],"itemData":{"id":24075,"type":"article-journal","container-title":"The Journal of Infectious Diseases","DOI":"10.1093/infdis/jiaf177","title":"Measles seroprevalence in infants under nine months of age in low- and middle-income countries: a systematic review and meta-analysis","author":[{"family":"Ong","given":"D. S."},{"family":"Mollendorf","given":"C.","dropping-particle":"von"},{"family":"Mulholland","given":"K."},{"family":"Do","given":"L. A. H."}],"issued":{"date-parts":[["2025"]]}}}],"schema":"https://github.com/citation-style-language/schema/raw/master/csl-citation.json"} </w:instrText>
      </w:r>
      <w:r w:rsidR="004D10AE">
        <w:rPr>
          <w:rFonts w:ascii="Times New Roman" w:hAnsi="Times New Roman" w:cs="Times New Roman"/>
          <w:sz w:val="24"/>
          <w:szCs w:val="24"/>
        </w:rPr>
        <w:fldChar w:fldCharType="separate"/>
      </w:r>
      <w:r w:rsidR="00864692" w:rsidRPr="00864692">
        <w:rPr>
          <w:rFonts w:ascii="Times New Roman" w:hAnsi="Times New Roman" w:cs="Times New Roman"/>
          <w:sz w:val="24"/>
        </w:rPr>
        <w:t>(19–21)</w:t>
      </w:r>
      <w:r w:rsidR="004D10AE">
        <w:rPr>
          <w:rFonts w:ascii="Times New Roman" w:hAnsi="Times New Roman" w:cs="Times New Roman"/>
          <w:sz w:val="24"/>
          <w:szCs w:val="24"/>
        </w:rPr>
        <w:fldChar w:fldCharType="end"/>
      </w:r>
      <w:r w:rsidRPr="0038502B">
        <w:rPr>
          <w:rFonts w:ascii="Times New Roman" w:hAnsi="Times New Roman" w:cs="Times New Roman"/>
          <w:sz w:val="24"/>
          <w:szCs w:val="24"/>
        </w:rPr>
        <w:t xml:space="preserve">. The strong regional and district variation also agrees with evidence that measles risk is shaped by local immunity gaps and uneven vaccination performance </w:t>
      </w:r>
      <w:r w:rsidR="00864692">
        <w:rPr>
          <w:rFonts w:ascii="Times New Roman" w:hAnsi="Times New Roman" w:cs="Times New Roman"/>
          <w:sz w:val="24"/>
          <w:szCs w:val="24"/>
        </w:rPr>
        <w:fldChar w:fldCharType="begin"/>
      </w:r>
      <w:r w:rsidR="00864692">
        <w:rPr>
          <w:rFonts w:ascii="Times New Roman" w:hAnsi="Times New Roman" w:cs="Times New Roman"/>
          <w:sz w:val="24"/>
          <w:szCs w:val="24"/>
        </w:rPr>
        <w:instrText xml:space="preserve"> ADDIN ZOTERO_ITEM CSL_CITATION {"citationID":"tThUUuTy","properties":{"unsorted":false,"formattedCitation":"(13,22,23)","plainCitation":"(13,22,23)","noteIndex":0},"citationItems":[{"id":24064,"uris":["http://zotero.org/users/6223522/items/AILKQCKM"],"itemData":{"id":24064,"type":"article-journal","container-title":"BMC Medicine","DOI":"10.1186/s12916-020-01843-z","page":"2","title":"Vaccination strategies for measles control and elimination: time to strengthen local initiatives","volume":"19","author":[{"family":"Cutts","given":"F."},{"family":"Ferrari","given":"M."},{"family":"Krause","given":"L."},{"family":"Tatem","given":"A."},{"family":"Mosser","given":"J."}],"issued":{"date-parts":[["2021"]]}}},{"id":24056,"uris":["http://zotero.org/users/6223522/items/EI7RK3NH"],"itemData":{"id":24056,"type":"article-journal","container-title":"Nature","DOI":"10.1038/s41586-020-03043-4","page":"415-419","title":"Mapping routine measles vaccination in low- and middle-income countries","volume":"589","author":[{"family":"Abbasi","given":"A."},{"family":"Sbarra","given":"A."},{"family":"Rolfe","given":"S."},{"family":"Nguyen","given":"J. Q."},{"family":"Earl","given":"L."},{"family":"Galles","given":"N. C."},{"family":"Marks","given":"A."},{"family":"Abbas","given":"K."},{"family":"Abbasi-Kangevari","given":"M."},{"family":"Abbastabar","given":"H."},{"family":"Abd-Allah","given":"F."},{"family":"Abdelalim","given":"A."},{"family":"Abdollahi","given":"M."},{"family":"Abegaz","given":"K. H."},{"family":"Abiy","given":"H. A. A."},{"family":"Abolhassani","given":"H."},{"family":"Abreu","given":"L."},{"family":"Abrigo","given":"M. R."},{"family":"Abushouk","given":"A."},{"family":"Mosser","given":"J."}],"issued":{"date-parts":[["2020"]]}}},{"id":24074,"uris":["http://zotero.org/users/6223522/items/SDXVVBIF"],"itemData":{"id":24074,"type":"article-journal","container-title":"International Health","DOI":"10.1093/inthealth/ihab038","page":"250-259","title":"Tracking immunization coverage, dropout and equity gaps among children ages 12–23 months in Malawi – bottleneck analysis of the Malawi Demographic and Health Survey","volume":"14","author":[{"family":"Mmanga","given":"K."},{"family":"Mwenyenkulu","given":"T."},{"family":"Nkoka","given":"O."},{"family":"Ntenda","given":"P. A. M."}],"issued":{"date-parts":[["2021"]]}}}],"schema":"https://github.com/citation-style-language/schema/raw/master/csl-citation.json"} </w:instrText>
      </w:r>
      <w:r w:rsidR="00864692">
        <w:rPr>
          <w:rFonts w:ascii="Times New Roman" w:hAnsi="Times New Roman" w:cs="Times New Roman"/>
          <w:sz w:val="24"/>
          <w:szCs w:val="24"/>
        </w:rPr>
        <w:fldChar w:fldCharType="separate"/>
      </w:r>
      <w:r w:rsidR="00864692" w:rsidRPr="00864692">
        <w:rPr>
          <w:rFonts w:ascii="Times New Roman" w:hAnsi="Times New Roman" w:cs="Times New Roman"/>
          <w:sz w:val="24"/>
        </w:rPr>
        <w:t>(13,22,23)</w:t>
      </w:r>
      <w:r w:rsidR="00864692">
        <w:rPr>
          <w:rFonts w:ascii="Times New Roman" w:hAnsi="Times New Roman" w:cs="Times New Roman"/>
          <w:sz w:val="24"/>
          <w:szCs w:val="24"/>
        </w:rPr>
        <w:fldChar w:fldCharType="end"/>
      </w:r>
      <w:r w:rsidRPr="0038502B">
        <w:rPr>
          <w:rFonts w:ascii="Times New Roman" w:hAnsi="Times New Roman" w:cs="Times New Roman"/>
          <w:sz w:val="24"/>
          <w:szCs w:val="24"/>
        </w:rPr>
        <w:t>.</w:t>
      </w:r>
    </w:p>
    <w:p w14:paraId="3DE6CE14" w14:textId="77777777" w:rsidR="00864692" w:rsidRDefault="00864692" w:rsidP="0038502B">
      <w:pPr>
        <w:spacing w:line="480" w:lineRule="auto"/>
        <w:rPr>
          <w:rFonts w:ascii="Times New Roman" w:hAnsi="Times New Roman" w:cs="Times New Roman"/>
          <w:sz w:val="24"/>
          <w:szCs w:val="24"/>
        </w:rPr>
      </w:pPr>
    </w:p>
    <w:p w14:paraId="5CE4034B" w14:textId="661E927E"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t>In relation to the conceptual framework, the study most clearly supports sex and geographic location as factors associated with measles IgM positivity, while age remains important mainly through descriptive and literature-based interpretation. The other framework variables could not be fully interpreted because they were not fully presented in the final results. Taken together, the findings suggest that recent measles transmission in Malawi was shaped by a combination of individual and place-based factors, and that local patterns of vulnerability remain central to measles control.</w:t>
      </w:r>
    </w:p>
    <w:p w14:paraId="325F4996" w14:textId="77777777" w:rsidR="00337FEF" w:rsidRPr="0038502B" w:rsidRDefault="00337FEF" w:rsidP="0038502B">
      <w:pPr>
        <w:spacing w:line="480" w:lineRule="auto"/>
        <w:rPr>
          <w:rFonts w:ascii="Times New Roman" w:hAnsi="Times New Roman" w:cs="Times New Roman"/>
          <w:sz w:val="24"/>
          <w:szCs w:val="24"/>
        </w:rPr>
      </w:pPr>
      <w:r w:rsidRPr="0038502B">
        <w:rPr>
          <w:rFonts w:ascii="Times New Roman" w:hAnsi="Times New Roman" w:cs="Times New Roman"/>
          <w:sz w:val="24"/>
          <w:szCs w:val="24"/>
        </w:rPr>
        <w:br w:type="page"/>
      </w:r>
    </w:p>
    <w:p w14:paraId="0F807EE0" w14:textId="0C89F693" w:rsidR="00606CDE" w:rsidRPr="00985840" w:rsidRDefault="00606CDE" w:rsidP="00985840">
      <w:pPr>
        <w:pStyle w:val="Heading1"/>
      </w:pPr>
      <w:bookmarkStart w:id="122" w:name="_Toc232844555"/>
      <w:bookmarkStart w:id="123" w:name="_Toc232850340"/>
      <w:r w:rsidRPr="00985840">
        <w:lastRenderedPageBreak/>
        <w:t xml:space="preserve">Chapter </w:t>
      </w:r>
      <w:r w:rsidR="00DD6BFA" w:rsidRPr="00985840">
        <w:t>5</w:t>
      </w:r>
      <w:r w:rsidR="00DD6BFA" w:rsidRPr="00985840">
        <w:tab/>
      </w:r>
      <w:r w:rsidRPr="00985840">
        <w:t>Conclusions and Recommendations</w:t>
      </w:r>
      <w:bookmarkEnd w:id="122"/>
      <w:bookmarkEnd w:id="123"/>
    </w:p>
    <w:p w14:paraId="70281EE8" w14:textId="143A123E" w:rsidR="00606CDE" w:rsidRPr="0038502B" w:rsidRDefault="00DD6BFA" w:rsidP="0038502B">
      <w:pPr>
        <w:pStyle w:val="Heading2"/>
      </w:pPr>
      <w:bookmarkStart w:id="124" w:name="_Toc232844556"/>
      <w:bookmarkStart w:id="125" w:name="_Toc232850341"/>
      <w:bookmarkStart w:id="126" w:name="conclusions-and-recommendations"/>
      <w:bookmarkStart w:id="127" w:name="X720d8017282b6593efa4251ca16b457d8f09ce5"/>
      <w:r>
        <w:t>Conclusion</w:t>
      </w:r>
      <w:bookmarkEnd w:id="124"/>
      <w:bookmarkEnd w:id="125"/>
    </w:p>
    <w:p w14:paraId="4E3696ED" w14:textId="77777777" w:rsidR="00606CDE" w:rsidRPr="0038502B" w:rsidRDefault="00606CDE" w:rsidP="0038502B">
      <w:pPr>
        <w:pStyle w:val="FirstParagraph"/>
        <w:spacing w:line="480" w:lineRule="auto"/>
        <w:rPr>
          <w:rFonts w:ascii="Times New Roman" w:hAnsi="Times New Roman" w:cs="Times New Roman"/>
          <w:sz w:val="24"/>
          <w:szCs w:val="24"/>
        </w:rPr>
      </w:pPr>
      <w:r w:rsidRPr="0038502B">
        <w:rPr>
          <w:rFonts w:ascii="Times New Roman" w:hAnsi="Times New Roman" w:cs="Times New Roman"/>
          <w:sz w:val="24"/>
          <w:szCs w:val="24"/>
        </w:rPr>
        <w:t>This study showed that measles remained an important public health problem in Malawi during the study period. The laboratory findings confirmed that a large proportion of suspected cases represented recent measles infection, indicating continued transmission within the population. The temporal pattern further suggested that transmission intensified during the latter part of the study period rather than remaining evenly distributed over time.</w:t>
      </w:r>
    </w:p>
    <w:p w14:paraId="1F48EAA0" w14:textId="77777777" w:rsidR="00606CDE" w:rsidRPr="0038502B" w:rsidRDefault="00606CDE" w:rsidP="0038502B">
      <w:pPr>
        <w:pStyle w:val="BodyText"/>
        <w:spacing w:line="480" w:lineRule="auto"/>
      </w:pPr>
      <w:r w:rsidRPr="0038502B">
        <w:t>The study also found that measles IgM positivity was not distributed uniformly across the study population. Sex and geographic location emerged as important factors associated with the outcome. Male cases were more likely to test positive, while marked regional and district differences showed that the burden was concentrated in particular areas. These findings suggest that measles transmission in Malawi is shaped by both individual and place-related factors.</w:t>
      </w:r>
    </w:p>
    <w:p w14:paraId="4B5DBE83" w14:textId="77777777" w:rsidR="00606CDE" w:rsidRPr="0038502B" w:rsidRDefault="00606CDE" w:rsidP="0038502B">
      <w:pPr>
        <w:pStyle w:val="BodyText"/>
        <w:spacing w:line="480" w:lineRule="auto"/>
      </w:pPr>
      <w:r w:rsidRPr="0038502B">
        <w:t>Although age group was not statistically significant in the adjusted model, the descriptive pattern showed that many cases occurred among infants younger than nine months. This points to a vulnerable group that may become susceptible before the routine age of vaccination. The finding is important because it suggests that protection in early infancy remains a challenge in the Malawi setting.</w:t>
      </w:r>
    </w:p>
    <w:p w14:paraId="66627EE1" w14:textId="77777777" w:rsidR="00606CDE" w:rsidRPr="0038502B" w:rsidRDefault="00606CDE" w:rsidP="0038502B">
      <w:pPr>
        <w:pStyle w:val="BodyText"/>
        <w:spacing w:line="480" w:lineRule="auto"/>
      </w:pPr>
      <w:r w:rsidRPr="0038502B">
        <w:t>Overall, the study concludes that measles control in Malawi cannot depend only on routine coverage estimates or national summaries. The continued occurrence of confirmed cases, the concentration of burden in some areas, and the presence of vulnerable age groups together indicate that closer use of surveillance and laboratory evidence is needed to guide action.</w:t>
      </w:r>
    </w:p>
    <w:p w14:paraId="6BAA6F07" w14:textId="7DE22A24" w:rsidR="00606CDE" w:rsidRPr="0038502B" w:rsidRDefault="00606CDE" w:rsidP="0038502B">
      <w:pPr>
        <w:pStyle w:val="Heading2"/>
      </w:pPr>
      <w:bookmarkStart w:id="128" w:name="_Toc232844557"/>
      <w:bookmarkStart w:id="129" w:name="_Toc232850342"/>
      <w:bookmarkStart w:id="130" w:name="recommendations"/>
      <w:bookmarkEnd w:id="126"/>
      <w:r w:rsidRPr="0038502B">
        <w:t>Recommendations</w:t>
      </w:r>
      <w:bookmarkEnd w:id="128"/>
      <w:bookmarkEnd w:id="129"/>
    </w:p>
    <w:p w14:paraId="047251F6" w14:textId="77777777" w:rsidR="00606CDE" w:rsidRPr="0038502B" w:rsidRDefault="00606CDE" w:rsidP="0038502B">
      <w:pPr>
        <w:pStyle w:val="FirstParagraph"/>
        <w:spacing w:line="480" w:lineRule="auto"/>
        <w:rPr>
          <w:rFonts w:ascii="Times New Roman" w:hAnsi="Times New Roman" w:cs="Times New Roman"/>
          <w:sz w:val="24"/>
          <w:szCs w:val="24"/>
        </w:rPr>
      </w:pPr>
      <w:r w:rsidRPr="0038502B">
        <w:rPr>
          <w:rFonts w:ascii="Times New Roman" w:hAnsi="Times New Roman" w:cs="Times New Roman"/>
          <w:sz w:val="24"/>
          <w:szCs w:val="24"/>
        </w:rPr>
        <w:t>Based on the findings of this study, the following recommendations are made:</w:t>
      </w:r>
    </w:p>
    <w:p w14:paraId="30BF0BEE" w14:textId="77777777" w:rsidR="00606CDE" w:rsidRPr="0038502B" w:rsidRDefault="00606CDE">
      <w:pPr>
        <w:pStyle w:val="Compact"/>
        <w:numPr>
          <w:ilvl w:val="0"/>
          <w:numId w:val="6"/>
        </w:numPr>
        <w:spacing w:line="480" w:lineRule="auto"/>
        <w:rPr>
          <w:rFonts w:ascii="Times New Roman" w:hAnsi="Times New Roman" w:cs="Times New Roman"/>
          <w:sz w:val="24"/>
          <w:szCs w:val="24"/>
        </w:rPr>
      </w:pPr>
      <w:r w:rsidRPr="0038502B">
        <w:rPr>
          <w:rFonts w:ascii="Times New Roman" w:hAnsi="Times New Roman" w:cs="Times New Roman"/>
          <w:b/>
          <w:bCs/>
          <w:sz w:val="24"/>
          <w:szCs w:val="24"/>
        </w:rPr>
        <w:lastRenderedPageBreak/>
        <w:t>Strengthen measles surveillance and laboratory response</w:t>
      </w:r>
    </w:p>
    <w:p w14:paraId="2C3980D4" w14:textId="77777777" w:rsidR="00606CDE" w:rsidRPr="0038502B" w:rsidRDefault="00606CDE" w:rsidP="0038502B">
      <w:pPr>
        <w:pStyle w:val="FirstParagraph"/>
        <w:spacing w:line="480" w:lineRule="auto"/>
        <w:rPr>
          <w:rFonts w:ascii="Times New Roman" w:hAnsi="Times New Roman" w:cs="Times New Roman"/>
          <w:sz w:val="24"/>
          <w:szCs w:val="24"/>
        </w:rPr>
      </w:pPr>
      <w:r w:rsidRPr="0038502B">
        <w:rPr>
          <w:rFonts w:ascii="Times New Roman" w:hAnsi="Times New Roman" w:cs="Times New Roman"/>
          <w:sz w:val="24"/>
          <w:szCs w:val="24"/>
        </w:rPr>
        <w:t>Routine case-based surveillance should be strengthened to ensure early detection of suspected cases, timely sample testing, and rapid confirmation of outbreaks. Greater attention should be given to completeness of case investigation forms and timely reporting from districts to improve the quality of surveillance data.</w:t>
      </w:r>
    </w:p>
    <w:p w14:paraId="351016EA" w14:textId="77777777" w:rsidR="00606CDE" w:rsidRPr="0038502B" w:rsidRDefault="00606CDE">
      <w:pPr>
        <w:pStyle w:val="Compact"/>
        <w:numPr>
          <w:ilvl w:val="0"/>
          <w:numId w:val="7"/>
        </w:numPr>
        <w:spacing w:line="480" w:lineRule="auto"/>
        <w:rPr>
          <w:rFonts w:ascii="Times New Roman" w:hAnsi="Times New Roman" w:cs="Times New Roman"/>
          <w:sz w:val="24"/>
          <w:szCs w:val="24"/>
        </w:rPr>
      </w:pPr>
      <w:r w:rsidRPr="0038502B">
        <w:rPr>
          <w:rFonts w:ascii="Times New Roman" w:hAnsi="Times New Roman" w:cs="Times New Roman"/>
          <w:b/>
          <w:bCs/>
          <w:sz w:val="24"/>
          <w:szCs w:val="24"/>
        </w:rPr>
        <w:t>Use district-level evidence to guide interventions</w:t>
      </w:r>
    </w:p>
    <w:p w14:paraId="454BD6F0" w14:textId="77777777" w:rsidR="00606CDE" w:rsidRPr="0038502B" w:rsidRDefault="00606CDE" w:rsidP="0038502B">
      <w:pPr>
        <w:pStyle w:val="FirstParagraph"/>
        <w:spacing w:line="480" w:lineRule="auto"/>
        <w:rPr>
          <w:rFonts w:ascii="Times New Roman" w:hAnsi="Times New Roman" w:cs="Times New Roman"/>
          <w:sz w:val="24"/>
          <w:szCs w:val="24"/>
        </w:rPr>
      </w:pPr>
      <w:r w:rsidRPr="0038502B">
        <w:rPr>
          <w:rFonts w:ascii="Times New Roman" w:hAnsi="Times New Roman" w:cs="Times New Roman"/>
          <w:sz w:val="24"/>
          <w:szCs w:val="24"/>
        </w:rPr>
        <w:t>Measles prevention and response activities should place greater emphasis on district and regional patterns rather than relying only on national averages. Districts and regions with persistently higher positivity or recurrent outbreaks should receive closer review and targeted response planning.</w:t>
      </w:r>
    </w:p>
    <w:p w14:paraId="09819D6B" w14:textId="77777777" w:rsidR="00606CDE" w:rsidRPr="0038502B" w:rsidRDefault="00606CDE">
      <w:pPr>
        <w:pStyle w:val="Compact"/>
        <w:numPr>
          <w:ilvl w:val="0"/>
          <w:numId w:val="8"/>
        </w:numPr>
        <w:spacing w:line="480" w:lineRule="auto"/>
        <w:rPr>
          <w:rFonts w:ascii="Times New Roman" w:hAnsi="Times New Roman" w:cs="Times New Roman"/>
          <w:sz w:val="24"/>
          <w:szCs w:val="24"/>
        </w:rPr>
      </w:pPr>
      <w:r w:rsidRPr="0038502B">
        <w:rPr>
          <w:rFonts w:ascii="Times New Roman" w:hAnsi="Times New Roman" w:cs="Times New Roman"/>
          <w:b/>
          <w:bCs/>
          <w:sz w:val="24"/>
          <w:szCs w:val="24"/>
        </w:rPr>
        <w:t>Improve routine immunization performance and follow-up of missed children</w:t>
      </w:r>
    </w:p>
    <w:p w14:paraId="4C80B862" w14:textId="77777777" w:rsidR="00606CDE" w:rsidRPr="0038502B" w:rsidRDefault="00606CDE" w:rsidP="0038502B">
      <w:pPr>
        <w:pStyle w:val="FirstParagraph"/>
        <w:spacing w:line="480" w:lineRule="auto"/>
        <w:rPr>
          <w:rFonts w:ascii="Times New Roman" w:hAnsi="Times New Roman" w:cs="Times New Roman"/>
          <w:sz w:val="24"/>
          <w:szCs w:val="24"/>
        </w:rPr>
      </w:pPr>
      <w:r w:rsidRPr="0038502B">
        <w:rPr>
          <w:rFonts w:ascii="Times New Roman" w:hAnsi="Times New Roman" w:cs="Times New Roman"/>
          <w:sz w:val="24"/>
          <w:szCs w:val="24"/>
        </w:rPr>
        <w:t>Routine immunization services should be strengthened to reduce the accumulation of susceptible children. Particular attention should be given to identifying children who miss vaccination and improving follow-up systems so that missed opportunities do not translate into larger immunity gaps.</w:t>
      </w:r>
    </w:p>
    <w:p w14:paraId="012E6F62" w14:textId="77777777" w:rsidR="00606CDE" w:rsidRPr="0038502B" w:rsidRDefault="00606CDE">
      <w:pPr>
        <w:pStyle w:val="Compact"/>
        <w:numPr>
          <w:ilvl w:val="0"/>
          <w:numId w:val="9"/>
        </w:numPr>
        <w:spacing w:line="480" w:lineRule="auto"/>
        <w:rPr>
          <w:rFonts w:ascii="Times New Roman" w:hAnsi="Times New Roman" w:cs="Times New Roman"/>
          <w:sz w:val="24"/>
          <w:szCs w:val="24"/>
        </w:rPr>
      </w:pPr>
      <w:r w:rsidRPr="0038502B">
        <w:rPr>
          <w:rFonts w:ascii="Times New Roman" w:hAnsi="Times New Roman" w:cs="Times New Roman"/>
          <w:b/>
          <w:bCs/>
          <w:sz w:val="24"/>
          <w:szCs w:val="24"/>
        </w:rPr>
        <w:t>Give special attention to infants and other vulnerable groups</w:t>
      </w:r>
    </w:p>
    <w:p w14:paraId="6D73A5AA" w14:textId="77777777" w:rsidR="00606CDE" w:rsidRPr="0038502B" w:rsidRDefault="00606CDE" w:rsidP="0038502B">
      <w:pPr>
        <w:pStyle w:val="FirstParagraph"/>
        <w:spacing w:line="480" w:lineRule="auto"/>
        <w:rPr>
          <w:rFonts w:ascii="Times New Roman" w:hAnsi="Times New Roman" w:cs="Times New Roman"/>
          <w:sz w:val="24"/>
          <w:szCs w:val="24"/>
        </w:rPr>
      </w:pPr>
      <w:r w:rsidRPr="0038502B">
        <w:rPr>
          <w:rFonts w:ascii="Times New Roman" w:hAnsi="Times New Roman" w:cs="Times New Roman"/>
          <w:sz w:val="24"/>
          <w:szCs w:val="24"/>
        </w:rPr>
        <w:t>Public health planning should recognize infants younger than nine months as an important vulnerable group in measles transmission. Efforts to reduce community transmission, improve maternal and child health service linkages, and protect high-risk groups during outbreaks should be strengthened.</w:t>
      </w:r>
    </w:p>
    <w:p w14:paraId="08A76B44" w14:textId="77777777" w:rsidR="00606CDE" w:rsidRPr="0038502B" w:rsidRDefault="00606CDE">
      <w:pPr>
        <w:pStyle w:val="Compact"/>
        <w:numPr>
          <w:ilvl w:val="0"/>
          <w:numId w:val="10"/>
        </w:numPr>
        <w:spacing w:line="480" w:lineRule="auto"/>
        <w:rPr>
          <w:rFonts w:ascii="Times New Roman" w:hAnsi="Times New Roman" w:cs="Times New Roman"/>
          <w:sz w:val="24"/>
          <w:szCs w:val="24"/>
        </w:rPr>
      </w:pPr>
      <w:r w:rsidRPr="0038502B">
        <w:rPr>
          <w:rFonts w:ascii="Times New Roman" w:hAnsi="Times New Roman" w:cs="Times New Roman"/>
          <w:b/>
          <w:bCs/>
          <w:sz w:val="24"/>
          <w:szCs w:val="24"/>
        </w:rPr>
        <w:t>Improve data quality for programmatic decision-making</w:t>
      </w:r>
    </w:p>
    <w:p w14:paraId="19CABC23" w14:textId="77777777" w:rsidR="00606CDE" w:rsidRPr="0038502B" w:rsidRDefault="00606CDE" w:rsidP="0038502B">
      <w:pPr>
        <w:pStyle w:val="FirstParagraph"/>
        <w:spacing w:line="480" w:lineRule="auto"/>
        <w:rPr>
          <w:rFonts w:ascii="Times New Roman" w:hAnsi="Times New Roman" w:cs="Times New Roman"/>
          <w:sz w:val="24"/>
          <w:szCs w:val="24"/>
        </w:rPr>
      </w:pPr>
      <w:r w:rsidRPr="0038502B">
        <w:rPr>
          <w:rFonts w:ascii="Times New Roman" w:hAnsi="Times New Roman" w:cs="Times New Roman"/>
          <w:sz w:val="24"/>
          <w:szCs w:val="24"/>
        </w:rPr>
        <w:lastRenderedPageBreak/>
        <w:t>Variables such as age, vaccination history, sample condition, and timing of sample processing should be more consistently recorded and analysed. Better quality data would allow stronger interpretation of the factors associated with measles positivity and support more precise policy decisions.</w:t>
      </w:r>
    </w:p>
    <w:p w14:paraId="11A0598B" w14:textId="77777777" w:rsidR="00606CDE" w:rsidRPr="0038502B" w:rsidRDefault="00606CDE">
      <w:pPr>
        <w:pStyle w:val="Compact"/>
        <w:numPr>
          <w:ilvl w:val="0"/>
          <w:numId w:val="11"/>
        </w:numPr>
        <w:spacing w:line="480" w:lineRule="auto"/>
        <w:rPr>
          <w:rFonts w:ascii="Times New Roman" w:hAnsi="Times New Roman" w:cs="Times New Roman"/>
          <w:sz w:val="24"/>
          <w:szCs w:val="24"/>
        </w:rPr>
      </w:pPr>
      <w:r w:rsidRPr="0038502B">
        <w:rPr>
          <w:rFonts w:ascii="Times New Roman" w:hAnsi="Times New Roman" w:cs="Times New Roman"/>
          <w:b/>
          <w:bCs/>
          <w:sz w:val="24"/>
          <w:szCs w:val="24"/>
        </w:rPr>
        <w:t>Support further research on immunity gaps and early infant susceptibility</w:t>
      </w:r>
    </w:p>
    <w:p w14:paraId="4F97E045" w14:textId="77777777" w:rsidR="00606CDE" w:rsidRPr="0038502B" w:rsidRDefault="00606CDE" w:rsidP="0038502B">
      <w:pPr>
        <w:pStyle w:val="FirstParagraph"/>
        <w:spacing w:line="480" w:lineRule="auto"/>
        <w:rPr>
          <w:rFonts w:ascii="Times New Roman" w:hAnsi="Times New Roman" w:cs="Times New Roman"/>
          <w:sz w:val="24"/>
          <w:szCs w:val="24"/>
        </w:rPr>
      </w:pPr>
      <w:r w:rsidRPr="0038502B">
        <w:rPr>
          <w:rFonts w:ascii="Times New Roman" w:hAnsi="Times New Roman" w:cs="Times New Roman"/>
          <w:sz w:val="24"/>
          <w:szCs w:val="24"/>
        </w:rPr>
        <w:t>Further studies should explore population immunity using appropriate serological methods and should examine vulnerability in infants in more detail. Additional work is also needed to assess vaccination-related factors and local drivers of high-burden districts.</w:t>
      </w:r>
    </w:p>
    <w:p w14:paraId="10838871" w14:textId="354E09B9" w:rsidR="00606CDE" w:rsidRPr="0038502B" w:rsidRDefault="00606CDE" w:rsidP="0038502B">
      <w:pPr>
        <w:pStyle w:val="Heading2"/>
      </w:pPr>
      <w:bookmarkStart w:id="131" w:name="_Toc232844558"/>
      <w:bookmarkStart w:id="132" w:name="_Toc232850343"/>
      <w:bookmarkStart w:id="133" w:name="summary"/>
      <w:bookmarkEnd w:id="130"/>
      <w:r w:rsidRPr="0038502B">
        <w:t>Summary</w:t>
      </w:r>
      <w:bookmarkEnd w:id="131"/>
      <w:bookmarkEnd w:id="132"/>
    </w:p>
    <w:p w14:paraId="21161492" w14:textId="77777777" w:rsidR="00606CDE" w:rsidRPr="0038502B" w:rsidRDefault="00606CDE" w:rsidP="0038502B">
      <w:pPr>
        <w:pStyle w:val="FirstParagraph"/>
        <w:spacing w:line="480" w:lineRule="auto"/>
        <w:rPr>
          <w:rFonts w:ascii="Times New Roman" w:hAnsi="Times New Roman" w:cs="Times New Roman"/>
          <w:sz w:val="24"/>
          <w:szCs w:val="24"/>
        </w:rPr>
      </w:pPr>
      <w:r w:rsidRPr="0038502B">
        <w:rPr>
          <w:rFonts w:ascii="Times New Roman" w:hAnsi="Times New Roman" w:cs="Times New Roman"/>
          <w:sz w:val="24"/>
          <w:szCs w:val="24"/>
        </w:rPr>
        <w:t>The study provides evidence that measles transmission remained active in Malawi and that the burden was shaped by both demographic and geographic factors. Strengthening surveillance, improving immunization performance, focusing on high-burden areas, and paying closer attention to vulnerable infants will be important for reducing future outbreaks and supporting progress toward measles control.</w:t>
      </w:r>
    </w:p>
    <w:bookmarkEnd w:id="127"/>
    <w:bookmarkEnd w:id="133"/>
    <w:p w14:paraId="4E3545AA" w14:textId="7228CC28" w:rsidR="00606CDE" w:rsidRPr="0038502B" w:rsidRDefault="00606CDE" w:rsidP="0038502B">
      <w:pPr>
        <w:spacing w:line="480" w:lineRule="auto"/>
        <w:rPr>
          <w:rFonts w:ascii="Times New Roman" w:hAnsi="Times New Roman" w:cs="Times New Roman"/>
          <w:sz w:val="24"/>
          <w:szCs w:val="24"/>
          <w:lang w:val="en-US"/>
        </w:rPr>
      </w:pPr>
      <w:r w:rsidRPr="0038502B">
        <w:rPr>
          <w:rFonts w:ascii="Times New Roman" w:hAnsi="Times New Roman" w:cs="Times New Roman"/>
          <w:sz w:val="24"/>
          <w:szCs w:val="24"/>
          <w:lang w:val="en-US"/>
        </w:rPr>
        <w:br w:type="page"/>
      </w:r>
    </w:p>
    <w:p w14:paraId="222D060E" w14:textId="77777777" w:rsidR="00606CDE" w:rsidRPr="00606CDE" w:rsidRDefault="00606CDE" w:rsidP="00337FEF">
      <w:pPr>
        <w:rPr>
          <w:rFonts w:ascii="Times New Roman" w:hAnsi="Times New Roman" w:cs="Times New Roman"/>
          <w:sz w:val="24"/>
          <w:szCs w:val="24"/>
          <w:lang w:val="en-US"/>
        </w:rPr>
      </w:pPr>
    </w:p>
    <w:p w14:paraId="61019E93" w14:textId="5A613A2C" w:rsidR="00DD6BFA" w:rsidRPr="00DD6BFA" w:rsidRDefault="00337FEF" w:rsidP="00985840">
      <w:pPr>
        <w:pStyle w:val="Heading1"/>
      </w:pPr>
      <w:bookmarkStart w:id="134" w:name="summary-of-discussion"/>
      <w:bookmarkStart w:id="135" w:name="_Toc232772275"/>
      <w:bookmarkStart w:id="136" w:name="_Toc232844559"/>
      <w:bookmarkStart w:id="137" w:name="_Toc232850344"/>
      <w:bookmarkEnd w:id="134"/>
      <w:r w:rsidRPr="00337FEF">
        <w:t>References</w:t>
      </w:r>
      <w:bookmarkEnd w:id="135"/>
      <w:bookmarkEnd w:id="136"/>
      <w:bookmarkEnd w:id="137"/>
    </w:p>
    <w:p w14:paraId="1C020B70"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eastAsiaTheme="minorHAnsi" w:hAnsi="Times New Roman" w:cs="Times New Roman"/>
          <w:sz w:val="24"/>
          <w:szCs w:val="24"/>
        </w:rPr>
        <w:fldChar w:fldCharType="begin"/>
      </w:r>
      <w:r w:rsidRPr="00864692">
        <w:rPr>
          <w:rFonts w:ascii="Times New Roman" w:eastAsiaTheme="minorHAnsi" w:hAnsi="Times New Roman" w:cs="Times New Roman"/>
          <w:sz w:val="24"/>
          <w:szCs w:val="24"/>
        </w:rPr>
        <w:instrText xml:space="preserve"> ADDIN ZOTERO_BIBL {"uncited":[],"omitted":[],"custom":[]} CSL_BIBLIOGRAPHY </w:instrText>
      </w:r>
      <w:r w:rsidRPr="00864692">
        <w:rPr>
          <w:rFonts w:ascii="Times New Roman" w:eastAsiaTheme="minorHAnsi" w:hAnsi="Times New Roman" w:cs="Times New Roman"/>
          <w:sz w:val="24"/>
          <w:szCs w:val="24"/>
        </w:rPr>
        <w:fldChar w:fldCharType="separate"/>
      </w:r>
      <w:r w:rsidRPr="00864692">
        <w:rPr>
          <w:rFonts w:ascii="Times New Roman" w:hAnsi="Times New Roman" w:cs="Times New Roman"/>
          <w:sz w:val="24"/>
          <w:szCs w:val="24"/>
        </w:rPr>
        <w:t>1.</w:t>
      </w:r>
      <w:r w:rsidRPr="00864692">
        <w:rPr>
          <w:rFonts w:ascii="Times New Roman" w:hAnsi="Times New Roman" w:cs="Times New Roman"/>
          <w:sz w:val="24"/>
          <w:szCs w:val="24"/>
        </w:rPr>
        <w:tab/>
        <w:t>World Health Organization. Measles Fact Sheet [Internet]. 2024. Available from: https://www.who.int/news-room/fact-sheets/detail/measles</w:t>
      </w:r>
    </w:p>
    <w:p w14:paraId="157D8E59"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2.</w:t>
      </w:r>
      <w:r w:rsidRPr="00864692">
        <w:rPr>
          <w:rFonts w:ascii="Times New Roman" w:hAnsi="Times New Roman" w:cs="Times New Roman"/>
          <w:sz w:val="24"/>
          <w:szCs w:val="24"/>
        </w:rPr>
        <w:tab/>
        <w:t>Centers for Disease Control and Prevention. Global Measles Outbreaks [Internet]. 2024. Available from: https://www.cdc.gov/measles/outbreaks.html</w:t>
      </w:r>
    </w:p>
    <w:p w14:paraId="0CCAAAD3"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lang w:val="it-IT"/>
        </w:rPr>
        <w:t>3.</w:t>
      </w:r>
      <w:r w:rsidRPr="00864692">
        <w:rPr>
          <w:rFonts w:ascii="Times New Roman" w:hAnsi="Times New Roman" w:cs="Times New Roman"/>
          <w:sz w:val="24"/>
          <w:szCs w:val="24"/>
          <w:lang w:val="it-IT"/>
        </w:rPr>
        <w:tab/>
        <w:t xml:space="preserve">Minta AA, Ferrari M, Antoni S, Lambert B, Sayi TS, Hsu CH, et al. </w:t>
      </w:r>
      <w:r w:rsidRPr="00864692">
        <w:rPr>
          <w:rFonts w:ascii="Times New Roman" w:hAnsi="Times New Roman" w:cs="Times New Roman"/>
          <w:sz w:val="24"/>
          <w:szCs w:val="24"/>
        </w:rPr>
        <w:t>Progress Toward Measles Elimination — Worldwide, 2000–2023. Morbidity and Mortality Weekly Report. 2024;73(45):1036–42. doi:10.15585/mmwr.mm7345a4</w:t>
      </w:r>
    </w:p>
    <w:p w14:paraId="560826DC"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4.</w:t>
      </w:r>
      <w:r w:rsidRPr="00864692">
        <w:rPr>
          <w:rFonts w:ascii="Times New Roman" w:hAnsi="Times New Roman" w:cs="Times New Roman"/>
          <w:sz w:val="24"/>
          <w:szCs w:val="24"/>
        </w:rPr>
        <w:tab/>
        <w:t>Sbarra AN, Cutts FT, Fu H, Poudyal I, Rhoda D, Mosser J, et al. Evaluating Scope and Bias of Population-Level Measles Serosurveys: A Systematized Review and Bias Assessment. Vaccines. 2024;12(6):585. doi:10.3390/vaccines12060585</w:t>
      </w:r>
    </w:p>
    <w:p w14:paraId="11C7A755"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5.</w:t>
      </w:r>
      <w:r w:rsidRPr="00864692">
        <w:rPr>
          <w:rFonts w:ascii="Times New Roman" w:hAnsi="Times New Roman" w:cs="Times New Roman"/>
          <w:sz w:val="24"/>
          <w:szCs w:val="24"/>
        </w:rPr>
        <w:tab/>
        <w:t>Polonsky JA, Bhat N, Kallander K, Mtema Z, Kachur SP, Parry AE, et al. Measles seroprevalence in Chiradzulu district, Malawi. Vaccine. 2015;33(36):4554–8. doi:10.1016/j.vaccine.2015.07.017</w:t>
      </w:r>
    </w:p>
    <w:p w14:paraId="336B2073" w14:textId="307686F8"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6.</w:t>
      </w:r>
      <w:r w:rsidRPr="00864692">
        <w:rPr>
          <w:rFonts w:ascii="Times New Roman" w:hAnsi="Times New Roman" w:cs="Times New Roman"/>
          <w:sz w:val="24"/>
          <w:szCs w:val="24"/>
        </w:rPr>
        <w:tab/>
        <w:t>WHO. Water, sanitation, hygiene, and waste management for the COVID-19 virus [Internet]. World Health Organization; 2020. Available from: https://apps.who.int/iris/bitstream/handle/10665/331846/WHO-2019-nCoV-IPC_WASH-2020.3-eng.pdf?</w:t>
      </w:r>
    </w:p>
    <w:p w14:paraId="2FC8BAF0"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7.</w:t>
      </w:r>
      <w:r w:rsidRPr="00864692">
        <w:rPr>
          <w:rFonts w:ascii="Times New Roman" w:hAnsi="Times New Roman" w:cs="Times New Roman"/>
          <w:sz w:val="24"/>
          <w:szCs w:val="24"/>
        </w:rPr>
        <w:tab/>
        <w:t>Díaz-Ortega JL, Martínez-Valdez L, Casillas-Gutiérrez JG, Luna-Cruz M, Velázquez-Monroy O, García-García L. Seroprevalence of measles antibodies and factors associated with susceptibility. Scientific Reports. 2020;10:17488. doi:10.1038/s41598-020-74434-9</w:t>
      </w:r>
    </w:p>
    <w:p w14:paraId="42B856E3"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lastRenderedPageBreak/>
        <w:t>8.</w:t>
      </w:r>
      <w:r w:rsidRPr="00864692">
        <w:rPr>
          <w:rFonts w:ascii="Times New Roman" w:hAnsi="Times New Roman" w:cs="Times New Roman"/>
          <w:sz w:val="24"/>
          <w:szCs w:val="24"/>
        </w:rPr>
        <w:tab/>
        <w:t>Quach HQ, Ovsyannikova IG, Grill DE, Warner ND, Haralambieva IH, Kennedy RB, et al. Seroprevalence of Measles Antibodies in a Highly MMR-Vaccinated Population. Vaccines. 2022;10(11):1859. doi:10.3390/vaccines10111859</w:t>
      </w:r>
    </w:p>
    <w:p w14:paraId="34EA2A2B"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9.</w:t>
      </w:r>
      <w:r w:rsidRPr="00864692">
        <w:rPr>
          <w:rFonts w:ascii="Times New Roman" w:hAnsi="Times New Roman" w:cs="Times New Roman"/>
          <w:sz w:val="24"/>
          <w:szCs w:val="24"/>
        </w:rPr>
        <w:tab/>
        <w:t>Yousif M, Hong H, Malfeld S, Smit S, Makhathin L, Motsamai T, et al. Measles incidence in South Africa: a six-year review, 2015—2020. BMC Public Health. 2022;22:1693. doi:10.1186/s12889-022-14069-w</w:t>
      </w:r>
    </w:p>
    <w:p w14:paraId="16607616"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10.</w:t>
      </w:r>
      <w:r w:rsidRPr="00864692">
        <w:rPr>
          <w:rFonts w:ascii="Times New Roman" w:hAnsi="Times New Roman" w:cs="Times New Roman"/>
          <w:sz w:val="24"/>
          <w:szCs w:val="24"/>
        </w:rPr>
        <w:tab/>
        <w:t>Sbarra AN, Cutts FT, Fu H, Poudyal I, Rhoda D, Mosser J, et al. Evaluating Scope and Bias of Population-Level Measles Serosurveys. Vaccines. 2024;12(6):585. doi:10.3390/vaccines12060585</w:t>
      </w:r>
    </w:p>
    <w:p w14:paraId="0D9EE1E4"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11.</w:t>
      </w:r>
      <w:r w:rsidRPr="00864692">
        <w:rPr>
          <w:rFonts w:ascii="Times New Roman" w:hAnsi="Times New Roman" w:cs="Times New Roman"/>
          <w:sz w:val="24"/>
          <w:szCs w:val="24"/>
        </w:rPr>
        <w:tab/>
        <w:t>Masresha B, Hatcher C, Lebo EJ, Tanifum P, Bwaka A, Minta AA, et al. Progress Toward Measles Elimination — African Region, 2017–2021. Morbidity and Mortality Weekly Report. 2023;72:985–91. doi:10.15585/mmwr.mm7236a3</w:t>
      </w:r>
    </w:p>
    <w:p w14:paraId="234CAEA3"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12.</w:t>
      </w:r>
      <w:r w:rsidRPr="00864692">
        <w:rPr>
          <w:rFonts w:ascii="Times New Roman" w:hAnsi="Times New Roman" w:cs="Times New Roman"/>
          <w:sz w:val="24"/>
          <w:szCs w:val="24"/>
        </w:rPr>
        <w:tab/>
        <w:t>Masresha B, Wiysonge C, Katsande R, O’Connor P, Lebo EJ, Perry RT. Tracking Measles and Rubella Elimination Progress—World Health Organization African Region, 2022–2023. Vaccines. 2024;12(8):949. doi:10.3390/vaccines12080949</w:t>
      </w:r>
    </w:p>
    <w:p w14:paraId="4FD46FA4"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13.</w:t>
      </w:r>
      <w:r w:rsidRPr="00864692">
        <w:rPr>
          <w:rFonts w:ascii="Times New Roman" w:hAnsi="Times New Roman" w:cs="Times New Roman"/>
          <w:sz w:val="24"/>
          <w:szCs w:val="24"/>
        </w:rPr>
        <w:tab/>
        <w:t>Cutts F, Ferrari M, Krause L, Tatem A, Mosser J. Vaccination strategies for measles control and elimination: time to strengthen local initiatives. BMC Medicine. 2021;19:2. doi:10.1186/s12916-020-01843-z</w:t>
      </w:r>
    </w:p>
    <w:p w14:paraId="23CBCAE9" w14:textId="77777777" w:rsidR="00864692" w:rsidRPr="00864692" w:rsidRDefault="00864692" w:rsidP="00864692">
      <w:pPr>
        <w:pStyle w:val="Bibliography"/>
        <w:rPr>
          <w:rFonts w:ascii="Times New Roman" w:hAnsi="Times New Roman" w:cs="Times New Roman"/>
          <w:sz w:val="24"/>
          <w:szCs w:val="24"/>
          <w:lang w:val="it-IT"/>
        </w:rPr>
      </w:pPr>
      <w:r w:rsidRPr="00864692">
        <w:rPr>
          <w:rFonts w:ascii="Times New Roman" w:hAnsi="Times New Roman" w:cs="Times New Roman"/>
          <w:sz w:val="24"/>
          <w:szCs w:val="24"/>
        </w:rPr>
        <w:t>14.</w:t>
      </w:r>
      <w:r w:rsidRPr="00864692">
        <w:rPr>
          <w:rFonts w:ascii="Times New Roman" w:hAnsi="Times New Roman" w:cs="Times New Roman"/>
          <w:sz w:val="24"/>
          <w:szCs w:val="24"/>
        </w:rPr>
        <w:tab/>
        <w:t xml:space="preserve">Plans-Rubió P. Measles Vaccination Coverage and Anti-Measles Herd Immunity Levels in the World and WHO Regions Worsened from 2019 to 2023. </w:t>
      </w:r>
      <w:r w:rsidRPr="00864692">
        <w:rPr>
          <w:rFonts w:ascii="Times New Roman" w:hAnsi="Times New Roman" w:cs="Times New Roman"/>
          <w:sz w:val="24"/>
          <w:szCs w:val="24"/>
          <w:lang w:val="it-IT"/>
        </w:rPr>
        <w:t>Vaccines. 2025;13(2):157. doi:10.3390/vaccines13020157</w:t>
      </w:r>
    </w:p>
    <w:p w14:paraId="5C340870"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lang w:val="it-IT"/>
        </w:rPr>
        <w:lastRenderedPageBreak/>
        <w:t>15.</w:t>
      </w:r>
      <w:r w:rsidRPr="00864692">
        <w:rPr>
          <w:rFonts w:ascii="Times New Roman" w:hAnsi="Times New Roman" w:cs="Times New Roman"/>
          <w:sz w:val="24"/>
          <w:szCs w:val="24"/>
          <w:lang w:val="it-IT"/>
        </w:rPr>
        <w:tab/>
        <w:t xml:space="preserve">Branda F, Giovanetti M, Romano C, Benvenuto D, Ciccozzi A, Sanna D, et al. </w:t>
      </w:r>
      <w:r w:rsidRPr="00864692">
        <w:rPr>
          <w:rFonts w:ascii="Times New Roman" w:hAnsi="Times New Roman" w:cs="Times New Roman"/>
          <w:sz w:val="24"/>
          <w:szCs w:val="24"/>
        </w:rPr>
        <w:t>Global Measles Surveillance: Trends, Challenges, and Implications for Public Health Interventions. Infectious Disease Reports. 2024;16:367–79. doi:10.3390/idr16020028</w:t>
      </w:r>
    </w:p>
    <w:p w14:paraId="53348894"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16.</w:t>
      </w:r>
      <w:r w:rsidRPr="00864692">
        <w:rPr>
          <w:rFonts w:ascii="Times New Roman" w:hAnsi="Times New Roman" w:cs="Times New Roman"/>
          <w:sz w:val="24"/>
          <w:szCs w:val="24"/>
        </w:rPr>
        <w:tab/>
        <w:t>Green MS, Schwartz N, Peer V. Gender differences in measles incidence rates in a multi-year, pooled analysis, based on national data from seven high income countries. BMC Infectious Diseases. 2022;22:458. doi:10.1186/s12879-022-07340-3</w:t>
      </w:r>
    </w:p>
    <w:p w14:paraId="21687214"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17.</w:t>
      </w:r>
      <w:r w:rsidRPr="00864692">
        <w:rPr>
          <w:rFonts w:ascii="Times New Roman" w:hAnsi="Times New Roman" w:cs="Times New Roman"/>
          <w:sz w:val="24"/>
          <w:szCs w:val="24"/>
        </w:rPr>
        <w:tab/>
        <w:t>Baroncelli S, Galluzzo C, Orlando S, Luhanga R, Mphwere R, Kavalo T, et al. Insufficient measles antibody protection in 6-month-old Malawian infants: Reconsider vaccination schedule? Tropical Medicine &amp; International Health. 2023;28(9):731–5. doi:10.1111/tmi.13920</w:t>
      </w:r>
    </w:p>
    <w:p w14:paraId="3EED3AB7"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18.</w:t>
      </w:r>
      <w:r w:rsidRPr="00864692">
        <w:rPr>
          <w:rFonts w:ascii="Times New Roman" w:hAnsi="Times New Roman" w:cs="Times New Roman"/>
          <w:sz w:val="24"/>
          <w:szCs w:val="24"/>
        </w:rPr>
        <w:tab/>
        <w:t>Ong DS, Mollendorf C von, Mulholland K, Do LAH. Measles seroprevalence in infants under nine months in LMICs. Journal of Infectious Diseases. 2025. doi:10.1093/infdis/jiaf177</w:t>
      </w:r>
    </w:p>
    <w:p w14:paraId="2DF242F7" w14:textId="77777777" w:rsidR="00864692" w:rsidRPr="00864692" w:rsidRDefault="00864692" w:rsidP="00864692">
      <w:pPr>
        <w:pStyle w:val="Bibliography"/>
        <w:rPr>
          <w:rFonts w:ascii="Times New Roman" w:hAnsi="Times New Roman" w:cs="Times New Roman"/>
          <w:sz w:val="24"/>
          <w:szCs w:val="24"/>
          <w:lang w:val="it-IT"/>
        </w:rPr>
      </w:pPr>
      <w:r w:rsidRPr="00864692">
        <w:rPr>
          <w:rFonts w:ascii="Times New Roman" w:hAnsi="Times New Roman" w:cs="Times New Roman"/>
          <w:sz w:val="24"/>
          <w:szCs w:val="24"/>
        </w:rPr>
        <w:t>19.</w:t>
      </w:r>
      <w:r w:rsidRPr="00864692">
        <w:rPr>
          <w:rFonts w:ascii="Times New Roman" w:hAnsi="Times New Roman" w:cs="Times New Roman"/>
          <w:sz w:val="24"/>
          <w:szCs w:val="24"/>
        </w:rPr>
        <w:tab/>
        <w:t xml:space="preserve">Varma A, Bolotin S, Serres GD, Didierlaurent AM, Earle K, Frey K, et al. What is the current evidence base for measles vaccination earlier than 9 months of age?: Report from an informal technical consultation of the World Health Organization. </w:t>
      </w:r>
      <w:r w:rsidRPr="00864692">
        <w:rPr>
          <w:rFonts w:ascii="Times New Roman" w:hAnsi="Times New Roman" w:cs="Times New Roman"/>
          <w:sz w:val="24"/>
          <w:szCs w:val="24"/>
          <w:lang w:val="it-IT"/>
        </w:rPr>
        <w:t>Vaccine. 2025;57:127187. doi:10.1016/j.vaccine.2025.127187</w:t>
      </w:r>
    </w:p>
    <w:p w14:paraId="41FFD852"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lang w:val="it-IT"/>
        </w:rPr>
        <w:t>20.</w:t>
      </w:r>
      <w:r w:rsidRPr="00864692">
        <w:rPr>
          <w:rFonts w:ascii="Times New Roman" w:hAnsi="Times New Roman" w:cs="Times New Roman"/>
          <w:sz w:val="24"/>
          <w:szCs w:val="24"/>
          <w:lang w:val="it-IT"/>
        </w:rPr>
        <w:tab/>
        <w:t xml:space="preserve">Baroncelli S, Galluzzo C, Orlando S, Luhanga R, Mphwere R, Kavalo T, et al. </w:t>
      </w:r>
      <w:r w:rsidRPr="00864692">
        <w:rPr>
          <w:rFonts w:ascii="Times New Roman" w:hAnsi="Times New Roman" w:cs="Times New Roman"/>
          <w:sz w:val="24"/>
          <w:szCs w:val="24"/>
        </w:rPr>
        <w:t>Insufficient measles antibody protection in 6‐month‐old Malawian infants: Reconsider vaccination schedule? Tropical Medicine &amp; International Health. 2023;28:731–5. doi:10.1111/tmi.13920</w:t>
      </w:r>
    </w:p>
    <w:p w14:paraId="0F1A8C6C"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lastRenderedPageBreak/>
        <w:t>21.</w:t>
      </w:r>
      <w:r w:rsidRPr="00864692">
        <w:rPr>
          <w:rFonts w:ascii="Times New Roman" w:hAnsi="Times New Roman" w:cs="Times New Roman"/>
          <w:sz w:val="24"/>
          <w:szCs w:val="24"/>
        </w:rPr>
        <w:tab/>
        <w:t>Ong DS, Mollendorf C von, Mulholland K, Do LAH. Measles seroprevalence in infants under nine months of age in low- and middle-income countries: a systematic review and meta-analysis. The Journal of Infectious Diseases. 2025. doi:10.1093/infdis/jiaf177</w:t>
      </w:r>
    </w:p>
    <w:p w14:paraId="0889BB6B"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22.</w:t>
      </w:r>
      <w:r w:rsidRPr="00864692">
        <w:rPr>
          <w:rFonts w:ascii="Times New Roman" w:hAnsi="Times New Roman" w:cs="Times New Roman"/>
          <w:sz w:val="24"/>
          <w:szCs w:val="24"/>
        </w:rPr>
        <w:tab/>
        <w:t>Abbasi A, Sbarra A, Rolfe S, Nguyen JQ, Earl L, Galles NC, et al. Mapping routine measles vaccination in low- and middle-income countries. Nature. 2020;589:415–9. doi:10.1038/s41586-020-03043-4</w:t>
      </w:r>
    </w:p>
    <w:p w14:paraId="26E7A37B"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23.</w:t>
      </w:r>
      <w:r w:rsidRPr="00864692">
        <w:rPr>
          <w:rFonts w:ascii="Times New Roman" w:hAnsi="Times New Roman" w:cs="Times New Roman"/>
          <w:sz w:val="24"/>
          <w:szCs w:val="24"/>
        </w:rPr>
        <w:tab/>
        <w:t>Mmanga K, Mwenyenkulu T, Nkoka O, Ntenda PAM. Tracking immunization coverage, dropout and equity gaps among children ages 12–23 months in Malawi – bottleneck analysis of the Malawi Demographic and Health Survey. International Health. 2021;14:250–9. doi:10.1093/inthealth/ihab038</w:t>
      </w:r>
    </w:p>
    <w:p w14:paraId="1F777496"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24.</w:t>
      </w:r>
      <w:r w:rsidRPr="00864692">
        <w:rPr>
          <w:rFonts w:ascii="Times New Roman" w:hAnsi="Times New Roman" w:cs="Times New Roman"/>
          <w:sz w:val="24"/>
          <w:szCs w:val="24"/>
        </w:rPr>
        <w:tab/>
        <w:t>Mengistu S, Achila O, Tewelde AT, Hamida ME, Tekle F, Michae I, et al. Epidemiology of confirmed measles virus cases, surveillance, incidence, and associated factors in Eritrea: 18-year retrospective analysis. Frontiers in Public Health. 2023;11:1218317. doi:10.3389/fpubh.2023.1218317</w:t>
      </w:r>
    </w:p>
    <w:p w14:paraId="44C05C3C" w14:textId="77777777" w:rsidR="00864692" w:rsidRPr="00864692"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25.</w:t>
      </w:r>
      <w:r w:rsidRPr="00864692">
        <w:rPr>
          <w:rFonts w:ascii="Times New Roman" w:hAnsi="Times New Roman" w:cs="Times New Roman"/>
          <w:sz w:val="24"/>
          <w:szCs w:val="24"/>
        </w:rPr>
        <w:tab/>
        <w:t>Sowe A, Njie M, Sowe D, Fofana S, Ceesay L, Camara Y, et al. Epidemiology of measles cases, vaccine effectiveness, and performance towards measles elimination in The Gambia. PLoS ONE. 2021;16(10):e0258961. doi:10.1371/journal.pone.0258961</w:t>
      </w:r>
    </w:p>
    <w:p w14:paraId="229F370D" w14:textId="31542ACE" w:rsidR="00B3476D" w:rsidRDefault="00864692" w:rsidP="00864692">
      <w:pPr>
        <w:pStyle w:val="Bibliography"/>
        <w:rPr>
          <w:rFonts w:ascii="Times New Roman" w:hAnsi="Times New Roman" w:cs="Times New Roman"/>
          <w:sz w:val="24"/>
          <w:szCs w:val="24"/>
        </w:rPr>
      </w:pPr>
      <w:r w:rsidRPr="00864692">
        <w:rPr>
          <w:rFonts w:ascii="Times New Roman" w:hAnsi="Times New Roman" w:cs="Times New Roman"/>
          <w:sz w:val="24"/>
          <w:szCs w:val="24"/>
        </w:rPr>
        <w:t>26.</w:t>
      </w:r>
      <w:r w:rsidRPr="00864692">
        <w:rPr>
          <w:rFonts w:ascii="Times New Roman" w:hAnsi="Times New Roman" w:cs="Times New Roman"/>
          <w:sz w:val="24"/>
          <w:szCs w:val="24"/>
        </w:rPr>
        <w:tab/>
        <w:t>Minta AA, Ferrari M, Antoni S, Lambert B, Sayi TS, Hsu CH, et al. Progress toward regional measles elimination worldwide, 2000–2021. Morbidity and Mortality Weekly Report. 2022;71:1489–95. doi:10.15585/mmwr.mm7147a1</w:t>
      </w:r>
      <w:r w:rsidR="00B3476D">
        <w:rPr>
          <w:rFonts w:ascii="Times New Roman" w:hAnsi="Times New Roman" w:cs="Times New Roman"/>
          <w:sz w:val="24"/>
          <w:szCs w:val="24"/>
        </w:rPr>
        <w:t xml:space="preserve"> </w:t>
      </w:r>
      <w:r w:rsidR="00B3476D">
        <w:rPr>
          <w:rFonts w:ascii="Times New Roman" w:hAnsi="Times New Roman" w:cs="Times New Roman"/>
          <w:sz w:val="24"/>
          <w:szCs w:val="24"/>
        </w:rPr>
        <w:br w:type="page"/>
      </w:r>
    </w:p>
    <w:p w14:paraId="2D4F6D38" w14:textId="51406161" w:rsidR="00606CDE" w:rsidRDefault="00864692" w:rsidP="00606CDE">
      <w:pPr>
        <w:rPr>
          <w:rFonts w:ascii="Times New Roman" w:eastAsiaTheme="minorHAnsi" w:hAnsi="Times New Roman" w:cs="Times New Roman"/>
          <w:sz w:val="24"/>
          <w:szCs w:val="24"/>
        </w:rPr>
      </w:pPr>
      <w:r w:rsidRPr="00864692">
        <w:rPr>
          <w:rFonts w:ascii="Times New Roman" w:eastAsiaTheme="minorHAnsi" w:hAnsi="Times New Roman" w:cs="Times New Roman"/>
          <w:sz w:val="24"/>
          <w:szCs w:val="24"/>
        </w:rPr>
        <w:lastRenderedPageBreak/>
        <w:fldChar w:fldCharType="end"/>
      </w:r>
    </w:p>
    <w:p w14:paraId="203CF59F" w14:textId="14E6DF24" w:rsidR="00606CDE" w:rsidRDefault="00606CDE" w:rsidP="00985840">
      <w:pPr>
        <w:pStyle w:val="Heading1"/>
      </w:pPr>
      <w:bookmarkStart w:id="138" w:name="_Toc232844560"/>
      <w:bookmarkStart w:id="139" w:name="_Toc232850345"/>
      <w:r>
        <w:t>Appendices</w:t>
      </w:r>
      <w:bookmarkEnd w:id="138"/>
      <w:bookmarkEnd w:id="139"/>
    </w:p>
    <w:p w14:paraId="21F075A5" w14:textId="175334E0" w:rsidR="00EC469E" w:rsidRDefault="00EC469E" w:rsidP="00EC469E">
      <w:pPr>
        <w:pStyle w:val="Heading2"/>
      </w:pPr>
      <w:bookmarkStart w:id="140" w:name="_Toc232844561"/>
      <w:bookmarkStart w:id="141" w:name="_Toc232850346"/>
      <w:r>
        <w:t>Data extraction form</w:t>
      </w:r>
      <w:bookmarkEnd w:id="140"/>
      <w:bookmarkEnd w:id="141"/>
    </w:p>
    <w:tbl>
      <w:tblPr>
        <w:tblStyle w:val="TableGrid"/>
        <w:tblW w:w="10593" w:type="dxa"/>
        <w:tblInd w:w="5" w:type="dxa"/>
        <w:tblCellMar>
          <w:top w:w="9" w:type="dxa"/>
          <w:left w:w="108" w:type="dxa"/>
        </w:tblCellMar>
        <w:tblLook w:val="04A0" w:firstRow="1" w:lastRow="0" w:firstColumn="1" w:lastColumn="0" w:noHBand="0" w:noVBand="1"/>
      </w:tblPr>
      <w:tblGrid>
        <w:gridCol w:w="1062"/>
        <w:gridCol w:w="1082"/>
        <w:gridCol w:w="1169"/>
        <w:gridCol w:w="1109"/>
        <w:gridCol w:w="1183"/>
        <w:gridCol w:w="1215"/>
        <w:gridCol w:w="1392"/>
        <w:gridCol w:w="1203"/>
        <w:gridCol w:w="1178"/>
      </w:tblGrid>
      <w:tr w:rsidR="00EC469E" w:rsidRPr="00142EB8" w14:paraId="0AA6AFC1" w14:textId="77777777" w:rsidTr="007174E4">
        <w:trPr>
          <w:trHeight w:val="1668"/>
        </w:trPr>
        <w:tc>
          <w:tcPr>
            <w:tcW w:w="1061" w:type="dxa"/>
            <w:tcBorders>
              <w:top w:val="single" w:sz="4" w:space="0" w:color="000000"/>
              <w:left w:val="single" w:sz="4" w:space="0" w:color="000000"/>
              <w:bottom w:val="single" w:sz="4" w:space="0" w:color="000000"/>
              <w:right w:val="single" w:sz="4" w:space="0" w:color="000000"/>
            </w:tcBorders>
          </w:tcPr>
          <w:p w14:paraId="68B63E50"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b/>
                <w:sz w:val="24"/>
                <w:szCs w:val="24"/>
              </w:rPr>
              <w:t xml:space="preserve">Epi-id </w:t>
            </w:r>
          </w:p>
        </w:tc>
        <w:tc>
          <w:tcPr>
            <w:tcW w:w="1082" w:type="dxa"/>
            <w:tcBorders>
              <w:top w:val="single" w:sz="4" w:space="0" w:color="000000"/>
              <w:left w:val="single" w:sz="4" w:space="0" w:color="000000"/>
              <w:bottom w:val="single" w:sz="4" w:space="0" w:color="000000"/>
              <w:right w:val="single" w:sz="4" w:space="0" w:color="000000"/>
            </w:tcBorders>
          </w:tcPr>
          <w:p w14:paraId="328176D4"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b/>
                <w:sz w:val="24"/>
                <w:szCs w:val="24"/>
              </w:rPr>
              <w:t xml:space="preserve">Date of birth </w:t>
            </w:r>
          </w:p>
        </w:tc>
        <w:tc>
          <w:tcPr>
            <w:tcW w:w="1169" w:type="dxa"/>
            <w:tcBorders>
              <w:top w:val="single" w:sz="4" w:space="0" w:color="000000"/>
              <w:left w:val="single" w:sz="4" w:space="0" w:color="000000"/>
              <w:bottom w:val="single" w:sz="4" w:space="0" w:color="000000"/>
              <w:right w:val="single" w:sz="4" w:space="0" w:color="000000"/>
            </w:tcBorders>
          </w:tcPr>
          <w:p w14:paraId="2BB86ED8"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b/>
                <w:sz w:val="24"/>
                <w:szCs w:val="24"/>
              </w:rPr>
              <w:t xml:space="preserve">Sex  </w:t>
            </w:r>
          </w:p>
        </w:tc>
        <w:tc>
          <w:tcPr>
            <w:tcW w:w="1109" w:type="dxa"/>
            <w:tcBorders>
              <w:top w:val="single" w:sz="4" w:space="0" w:color="000000"/>
              <w:left w:val="single" w:sz="4" w:space="0" w:color="000000"/>
              <w:bottom w:val="single" w:sz="4" w:space="0" w:color="000000"/>
              <w:right w:val="single" w:sz="4" w:space="0" w:color="000000"/>
            </w:tcBorders>
          </w:tcPr>
          <w:p w14:paraId="5D81276A"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b/>
                <w:sz w:val="24"/>
                <w:szCs w:val="24"/>
              </w:rPr>
              <w:t xml:space="preserve"> Date sample collected  </w:t>
            </w:r>
          </w:p>
        </w:tc>
        <w:tc>
          <w:tcPr>
            <w:tcW w:w="1183" w:type="dxa"/>
            <w:tcBorders>
              <w:top w:val="single" w:sz="4" w:space="0" w:color="000000"/>
              <w:left w:val="single" w:sz="4" w:space="0" w:color="000000"/>
              <w:bottom w:val="single" w:sz="4" w:space="0" w:color="000000"/>
              <w:right w:val="single" w:sz="4" w:space="0" w:color="000000"/>
            </w:tcBorders>
          </w:tcPr>
          <w:p w14:paraId="3ED1EA45"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b/>
                <w:sz w:val="24"/>
                <w:szCs w:val="24"/>
              </w:rPr>
              <w:t xml:space="preserve">District  </w:t>
            </w:r>
          </w:p>
        </w:tc>
        <w:tc>
          <w:tcPr>
            <w:tcW w:w="1215" w:type="dxa"/>
            <w:tcBorders>
              <w:top w:val="single" w:sz="4" w:space="0" w:color="000000"/>
              <w:left w:val="single" w:sz="4" w:space="0" w:color="000000"/>
              <w:bottom w:val="single" w:sz="4" w:space="0" w:color="000000"/>
              <w:right w:val="single" w:sz="4" w:space="0" w:color="000000"/>
            </w:tcBorders>
          </w:tcPr>
          <w:p w14:paraId="16152DF7"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b/>
                <w:sz w:val="24"/>
                <w:szCs w:val="24"/>
              </w:rPr>
              <w:t xml:space="preserve">Date sample received at the lab </w:t>
            </w:r>
          </w:p>
        </w:tc>
        <w:tc>
          <w:tcPr>
            <w:tcW w:w="1392" w:type="dxa"/>
            <w:tcBorders>
              <w:top w:val="single" w:sz="4" w:space="0" w:color="000000"/>
              <w:left w:val="single" w:sz="4" w:space="0" w:color="000000"/>
              <w:bottom w:val="single" w:sz="4" w:space="0" w:color="000000"/>
              <w:right w:val="single" w:sz="4" w:space="0" w:color="000000"/>
            </w:tcBorders>
          </w:tcPr>
          <w:p w14:paraId="4591087D"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b/>
                <w:sz w:val="24"/>
                <w:szCs w:val="24"/>
              </w:rPr>
              <w:t xml:space="preserve">Date of last vaccination </w:t>
            </w:r>
          </w:p>
        </w:tc>
        <w:tc>
          <w:tcPr>
            <w:tcW w:w="1203" w:type="dxa"/>
            <w:tcBorders>
              <w:top w:val="single" w:sz="4" w:space="0" w:color="000000"/>
              <w:left w:val="single" w:sz="4" w:space="0" w:color="000000"/>
              <w:bottom w:val="single" w:sz="4" w:space="0" w:color="000000"/>
              <w:right w:val="single" w:sz="4" w:space="0" w:color="000000"/>
            </w:tcBorders>
          </w:tcPr>
          <w:p w14:paraId="67FF803F" w14:textId="77777777" w:rsidR="00EC469E" w:rsidRPr="00142EB8" w:rsidRDefault="00EC469E" w:rsidP="007174E4">
            <w:pPr>
              <w:ind w:left="1"/>
              <w:rPr>
                <w:rFonts w:ascii="Times New Roman" w:hAnsi="Times New Roman" w:cs="Times New Roman"/>
                <w:sz w:val="24"/>
                <w:szCs w:val="24"/>
              </w:rPr>
            </w:pPr>
            <w:r w:rsidRPr="00142EB8">
              <w:rPr>
                <w:rFonts w:ascii="Times New Roman" w:hAnsi="Times New Roman" w:cs="Times New Roman"/>
                <w:b/>
                <w:sz w:val="24"/>
                <w:szCs w:val="24"/>
              </w:rPr>
              <w:t xml:space="preserve">Measles result </w:t>
            </w:r>
          </w:p>
        </w:tc>
        <w:tc>
          <w:tcPr>
            <w:tcW w:w="1178" w:type="dxa"/>
            <w:tcBorders>
              <w:top w:val="single" w:sz="4" w:space="0" w:color="000000"/>
              <w:left w:val="single" w:sz="4" w:space="0" w:color="000000"/>
              <w:bottom w:val="single" w:sz="4" w:space="0" w:color="000000"/>
              <w:right w:val="single" w:sz="4" w:space="0" w:color="000000"/>
            </w:tcBorders>
          </w:tcPr>
          <w:p w14:paraId="4FE7CCC0"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b/>
                <w:sz w:val="24"/>
                <w:szCs w:val="24"/>
              </w:rPr>
              <w:t xml:space="preserve">Sample condition </w:t>
            </w:r>
          </w:p>
        </w:tc>
      </w:tr>
      <w:tr w:rsidR="00EC469E" w:rsidRPr="00142EB8" w14:paraId="6A2BB0EB" w14:textId="77777777" w:rsidTr="007174E4">
        <w:trPr>
          <w:trHeight w:val="422"/>
        </w:trPr>
        <w:tc>
          <w:tcPr>
            <w:tcW w:w="1061" w:type="dxa"/>
            <w:tcBorders>
              <w:top w:val="single" w:sz="4" w:space="0" w:color="000000"/>
              <w:left w:val="single" w:sz="4" w:space="0" w:color="000000"/>
              <w:bottom w:val="single" w:sz="4" w:space="0" w:color="000000"/>
              <w:right w:val="single" w:sz="4" w:space="0" w:color="000000"/>
            </w:tcBorders>
          </w:tcPr>
          <w:p w14:paraId="37B135F6"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1082" w:type="dxa"/>
            <w:tcBorders>
              <w:top w:val="single" w:sz="4" w:space="0" w:color="000000"/>
              <w:left w:val="single" w:sz="4" w:space="0" w:color="000000"/>
              <w:bottom w:val="single" w:sz="4" w:space="0" w:color="000000"/>
              <w:right w:val="single" w:sz="4" w:space="0" w:color="000000"/>
            </w:tcBorders>
          </w:tcPr>
          <w:p w14:paraId="246FF6B6"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6585D82"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370849AD"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1183" w:type="dxa"/>
            <w:tcBorders>
              <w:top w:val="single" w:sz="4" w:space="0" w:color="000000"/>
              <w:left w:val="single" w:sz="4" w:space="0" w:color="000000"/>
              <w:bottom w:val="single" w:sz="4" w:space="0" w:color="000000"/>
              <w:right w:val="single" w:sz="4" w:space="0" w:color="000000"/>
            </w:tcBorders>
          </w:tcPr>
          <w:p w14:paraId="53FF38A7"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1215" w:type="dxa"/>
            <w:tcBorders>
              <w:top w:val="single" w:sz="4" w:space="0" w:color="000000"/>
              <w:left w:val="single" w:sz="4" w:space="0" w:color="000000"/>
              <w:bottom w:val="single" w:sz="4" w:space="0" w:color="000000"/>
              <w:right w:val="single" w:sz="4" w:space="0" w:color="000000"/>
            </w:tcBorders>
          </w:tcPr>
          <w:p w14:paraId="012D5176"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429AD9D5" w14:textId="77777777" w:rsidR="00EC469E" w:rsidRPr="00142EB8" w:rsidRDefault="00EC469E" w:rsidP="007174E4">
            <w:pPr>
              <w:ind w:left="2"/>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1203" w:type="dxa"/>
            <w:tcBorders>
              <w:top w:val="single" w:sz="4" w:space="0" w:color="000000"/>
              <w:left w:val="single" w:sz="4" w:space="0" w:color="000000"/>
              <w:bottom w:val="single" w:sz="4" w:space="0" w:color="000000"/>
              <w:right w:val="single" w:sz="4" w:space="0" w:color="000000"/>
            </w:tcBorders>
          </w:tcPr>
          <w:p w14:paraId="49A3A289" w14:textId="77777777" w:rsidR="00EC469E" w:rsidRPr="00142EB8" w:rsidRDefault="00EC469E" w:rsidP="007174E4">
            <w:pPr>
              <w:ind w:left="1"/>
              <w:rPr>
                <w:rFonts w:ascii="Times New Roman" w:hAnsi="Times New Roman" w:cs="Times New Roman"/>
                <w:sz w:val="24"/>
                <w:szCs w:val="24"/>
              </w:rPr>
            </w:pPr>
            <w:r w:rsidRPr="00142EB8">
              <w:rPr>
                <w:rFonts w:ascii="Times New Roman" w:hAnsi="Times New Roman" w:cs="Times New Roman"/>
                <w:sz w:val="24"/>
                <w:szCs w:val="24"/>
              </w:rPr>
              <w:t xml:space="preserve"> </w:t>
            </w:r>
          </w:p>
        </w:tc>
        <w:tc>
          <w:tcPr>
            <w:tcW w:w="1178" w:type="dxa"/>
            <w:tcBorders>
              <w:top w:val="single" w:sz="4" w:space="0" w:color="000000"/>
              <w:left w:val="single" w:sz="4" w:space="0" w:color="000000"/>
              <w:bottom w:val="single" w:sz="4" w:space="0" w:color="000000"/>
              <w:right w:val="single" w:sz="4" w:space="0" w:color="000000"/>
            </w:tcBorders>
          </w:tcPr>
          <w:p w14:paraId="259F4520" w14:textId="77777777" w:rsidR="00EC469E" w:rsidRPr="00142EB8" w:rsidRDefault="00EC469E" w:rsidP="007174E4">
            <w:pPr>
              <w:rPr>
                <w:rFonts w:ascii="Times New Roman" w:hAnsi="Times New Roman" w:cs="Times New Roman"/>
                <w:sz w:val="24"/>
                <w:szCs w:val="24"/>
              </w:rPr>
            </w:pPr>
            <w:r w:rsidRPr="00142EB8">
              <w:rPr>
                <w:rFonts w:ascii="Times New Roman" w:hAnsi="Times New Roman" w:cs="Times New Roman"/>
                <w:sz w:val="24"/>
                <w:szCs w:val="24"/>
              </w:rPr>
              <w:t xml:space="preserve"> </w:t>
            </w:r>
          </w:p>
        </w:tc>
      </w:tr>
    </w:tbl>
    <w:p w14:paraId="17BDD58D" w14:textId="77777777" w:rsidR="00EC469E" w:rsidRPr="00606CDE" w:rsidRDefault="00EC469E" w:rsidP="00606CDE">
      <w:pPr>
        <w:rPr>
          <w:rFonts w:ascii="Times New Roman" w:eastAsiaTheme="minorHAnsi" w:hAnsi="Times New Roman" w:cs="Times New Roman"/>
          <w:sz w:val="24"/>
          <w:szCs w:val="24"/>
        </w:rPr>
      </w:pPr>
    </w:p>
    <w:p w14:paraId="3E230937" w14:textId="7E63FBE2" w:rsidR="006055D0" w:rsidRDefault="006055D0" w:rsidP="00EC469E">
      <w:pPr>
        <w:pStyle w:val="Heading2"/>
      </w:pPr>
      <w:bookmarkStart w:id="142" w:name="_Toc232844562"/>
      <w:bookmarkStart w:id="143" w:name="_Toc232850347"/>
      <w:r>
        <w:t>Ethical approval</w:t>
      </w:r>
      <w:bookmarkEnd w:id="142"/>
      <w:bookmarkEnd w:id="143"/>
      <w:r>
        <w:t xml:space="preserve"> </w:t>
      </w:r>
    </w:p>
    <w:p w14:paraId="265919FB" w14:textId="5CC303B6" w:rsidR="006055D0" w:rsidRPr="006055D0" w:rsidRDefault="00313B92" w:rsidP="006055D0">
      <w:pPr>
        <w:rPr>
          <w:rFonts w:ascii="Times New Roman" w:hAnsi="Times New Roman" w:cs="Times New Roman"/>
          <w:sz w:val="24"/>
          <w:szCs w:val="24"/>
        </w:rPr>
      </w:pPr>
      <w:r>
        <w:rPr>
          <w:noProof/>
        </w:rPr>
        <w:drawing>
          <wp:anchor distT="0" distB="0" distL="114300" distR="114300" simplePos="0" relativeHeight="251667456" behindDoc="1" locked="0" layoutInCell="1" allowOverlap="1" wp14:anchorId="15832E87" wp14:editId="1331912B">
            <wp:simplePos x="0" y="0"/>
            <wp:positionH relativeFrom="column">
              <wp:posOffset>-83820</wp:posOffset>
            </wp:positionH>
            <wp:positionV relativeFrom="paragraph">
              <wp:posOffset>404495</wp:posOffset>
            </wp:positionV>
            <wp:extent cx="5943600" cy="4206875"/>
            <wp:effectExtent l="0" t="0" r="0" b="3175"/>
            <wp:wrapTight wrapText="bothSides">
              <wp:wrapPolygon edited="0">
                <wp:start x="0" y="0"/>
                <wp:lineTo x="0" y="21518"/>
                <wp:lineTo x="21531" y="21518"/>
                <wp:lineTo x="21531" y="0"/>
                <wp:lineTo x="0" y="0"/>
              </wp:wrapPolygon>
            </wp:wrapTight>
            <wp:docPr id="19228542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206875"/>
                    </a:xfrm>
                    <a:prstGeom prst="rect">
                      <a:avLst/>
                    </a:prstGeom>
                    <a:noFill/>
                    <a:ln>
                      <a:noFill/>
                    </a:ln>
                  </pic:spPr>
                </pic:pic>
              </a:graphicData>
            </a:graphic>
          </wp:anchor>
        </w:drawing>
      </w:r>
    </w:p>
    <w:p w14:paraId="2CF1B06E" w14:textId="77777777" w:rsidR="001608CD" w:rsidRPr="00FC4F13" w:rsidRDefault="001608CD" w:rsidP="00FC4F13">
      <w:pPr>
        <w:rPr>
          <w:rFonts w:ascii="Times New Roman" w:hAnsi="Times New Roman" w:cs="Times New Roman"/>
          <w:sz w:val="24"/>
          <w:szCs w:val="24"/>
        </w:rPr>
      </w:pPr>
    </w:p>
    <w:sectPr w:rsidR="001608CD" w:rsidRPr="00FC4F13" w:rsidSect="00FD238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0B2F6" w14:textId="77777777" w:rsidR="00EF7E1A" w:rsidRDefault="00EF7E1A" w:rsidP="005D081F">
      <w:pPr>
        <w:spacing w:line="240" w:lineRule="auto"/>
      </w:pPr>
      <w:r>
        <w:separator/>
      </w:r>
    </w:p>
  </w:endnote>
  <w:endnote w:type="continuationSeparator" w:id="0">
    <w:p w14:paraId="673EEC53" w14:textId="77777777" w:rsidR="00EF7E1A" w:rsidRDefault="00EF7E1A" w:rsidP="005D08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Noto Sans Symbols">
    <w:altName w:val="Calibri"/>
    <w:charset w:val="00"/>
    <w:family w:val="auto"/>
    <w:pitch w:val="default"/>
    <w:sig w:usb0="00000000" w:usb1="00000000" w:usb2="00000000" w:usb3="00000000" w:csb0="00000001"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hronicle Text G1">
    <w:altName w:val="Cambria"/>
    <w:charset w:val="00"/>
    <w:family w:val="roman"/>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339992"/>
      <w:docPartObj>
        <w:docPartGallery w:val="Page Numbers (Bottom of Page)"/>
        <w:docPartUnique/>
      </w:docPartObj>
    </w:sdtPr>
    <w:sdtEndPr>
      <w:rPr>
        <w:noProof/>
      </w:rPr>
    </w:sdtEndPr>
    <w:sdtContent>
      <w:p w14:paraId="64C17DFD" w14:textId="09AC1D83" w:rsidR="00FD2383" w:rsidRDefault="00FD23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220C19" w14:textId="77777777" w:rsidR="00FD2383" w:rsidRDefault="00FD2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2F9BA" w14:textId="77777777" w:rsidR="00EF7E1A" w:rsidRDefault="00EF7E1A" w:rsidP="005D081F">
      <w:pPr>
        <w:spacing w:line="240" w:lineRule="auto"/>
      </w:pPr>
      <w:r>
        <w:separator/>
      </w:r>
    </w:p>
  </w:footnote>
  <w:footnote w:type="continuationSeparator" w:id="0">
    <w:p w14:paraId="76D28866" w14:textId="77777777" w:rsidR="00EF7E1A" w:rsidRDefault="00EF7E1A" w:rsidP="005D08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77707D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0A99412"/>
    <w:multiLevelType w:val="multilevel"/>
    <w:tmpl w:val="172C411C"/>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2" w15:restartNumberingAfterBreak="0">
    <w:nsid w:val="00A99413"/>
    <w:multiLevelType w:val="multilevel"/>
    <w:tmpl w:val="62D4DE88"/>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3" w15:restartNumberingAfterBreak="0">
    <w:nsid w:val="00A99414"/>
    <w:multiLevelType w:val="multilevel"/>
    <w:tmpl w:val="CC1040C0"/>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4" w15:restartNumberingAfterBreak="0">
    <w:nsid w:val="00A99415"/>
    <w:multiLevelType w:val="multilevel"/>
    <w:tmpl w:val="1AE2CBEA"/>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5" w15:restartNumberingAfterBreak="0">
    <w:nsid w:val="00A99416"/>
    <w:multiLevelType w:val="multilevel"/>
    <w:tmpl w:val="5436FB84"/>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6" w15:restartNumberingAfterBreak="0">
    <w:nsid w:val="0D7F6812"/>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E3248BE"/>
    <w:multiLevelType w:val="multilevel"/>
    <w:tmpl w:val="D844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8E7BA0"/>
    <w:multiLevelType w:val="multilevel"/>
    <w:tmpl w:val="155C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C643B"/>
    <w:multiLevelType w:val="multilevel"/>
    <w:tmpl w:val="7F704ED0"/>
    <w:lvl w:ilvl="0">
      <w:start w:val="1"/>
      <w:numFmt w:val="decimal"/>
      <w:lvlText w:val="%1"/>
      <w:lvlJc w:val="left"/>
      <w:pPr>
        <w:ind w:left="432" w:hanging="432"/>
      </w:pPr>
      <w:rPr>
        <w:rFonts w:ascii="Times New Roman Bold" w:hAnsi="Times New Roman Bold"/>
        <w:vanish/>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6C81B35"/>
    <w:multiLevelType w:val="multilevel"/>
    <w:tmpl w:val="023CFAA0"/>
    <w:lvl w:ilvl="0">
      <w:start w:val="1"/>
      <w:numFmt w:val="bullet"/>
      <w:pStyle w:val="List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19870F0C"/>
    <w:multiLevelType w:val="hybridMultilevel"/>
    <w:tmpl w:val="CF78C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0F405B"/>
    <w:multiLevelType w:val="hybridMultilevel"/>
    <w:tmpl w:val="6792E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E556D1"/>
    <w:multiLevelType w:val="hybridMultilevel"/>
    <w:tmpl w:val="C4B6281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22B0623A"/>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A274EA3"/>
    <w:multiLevelType w:val="multilevel"/>
    <w:tmpl w:val="01F8E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E96FAA"/>
    <w:multiLevelType w:val="hybridMultilevel"/>
    <w:tmpl w:val="844E065E"/>
    <w:lvl w:ilvl="0" w:tplc="9EC2E2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4236CB"/>
    <w:multiLevelType w:val="hybridMultilevel"/>
    <w:tmpl w:val="9F74C5F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38927A3B"/>
    <w:multiLevelType w:val="hybridMultilevel"/>
    <w:tmpl w:val="DBAAA90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39581851"/>
    <w:multiLevelType w:val="hybridMultilevel"/>
    <w:tmpl w:val="00E6F8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3DF35FE0"/>
    <w:multiLevelType w:val="hybridMultilevel"/>
    <w:tmpl w:val="E1F657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3FD51A36"/>
    <w:multiLevelType w:val="multilevel"/>
    <w:tmpl w:val="143233F0"/>
    <w:lvl w:ilvl="0">
      <w:start w:val="1"/>
      <w:numFmt w:val="decimal"/>
      <w:pStyle w:val="Heading1"/>
      <w:lvlText w:val="%1"/>
      <w:lvlJc w:val="left"/>
      <w:pPr>
        <w:ind w:left="432" w:hanging="432"/>
      </w:pPr>
      <w:rPr>
        <w:vanish/>
      </w:rPr>
    </w:lvl>
    <w:lvl w:ilvl="1">
      <w:start w:val="1"/>
      <w:numFmt w:val="decimal"/>
      <w:pStyle w:val="Heading2"/>
      <w:lvlText w:val="%1.%2"/>
      <w:lvlJc w:val="left"/>
      <w:pPr>
        <w:ind w:left="576" w:hanging="576"/>
      </w:pPr>
    </w:lvl>
    <w:lvl w:ilvl="2">
      <w:start w:val="1"/>
      <w:numFmt w:val="decimal"/>
      <w:pStyle w:val="Heading3"/>
      <w:lvlText w:val="%1.%2.%3"/>
      <w:lvlJc w:val="left"/>
      <w:pPr>
        <w:ind w:left="1530" w:hanging="720"/>
      </w:pPr>
    </w:lvl>
    <w:lvl w:ilvl="3">
      <w:start w:val="1"/>
      <w:numFmt w:val="decimal"/>
      <w:pStyle w:val="Heading4"/>
      <w:lvlText w:val="%1.%2.%3.%4"/>
      <w:lvlJc w:val="left"/>
      <w:pPr>
        <w:ind w:left="113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4117A0A"/>
    <w:multiLevelType w:val="hybridMultilevel"/>
    <w:tmpl w:val="63F88E5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489827AF"/>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C6A31AC"/>
    <w:multiLevelType w:val="hybridMultilevel"/>
    <w:tmpl w:val="8E0C02C8"/>
    <w:lvl w:ilvl="0" w:tplc="BC489326">
      <w:start w:val="1"/>
      <w:numFmt w:val="decimal"/>
      <w:lvlText w:val="%1."/>
      <w:lvlJc w:val="left"/>
      <w:pPr>
        <w:ind w:left="720" w:hanging="360"/>
      </w:pPr>
      <w:rPr>
        <w:rFonts w:hint="default"/>
        <w:sz w:val="24"/>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4E282508"/>
    <w:multiLevelType w:val="multilevel"/>
    <w:tmpl w:val="A1FA6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1D6D1F"/>
    <w:multiLevelType w:val="multilevel"/>
    <w:tmpl w:val="357AFB6C"/>
    <w:lvl w:ilvl="0">
      <w:start w:val="1"/>
      <w:numFmt w:val="bullet"/>
      <w:lvlText w:val="●"/>
      <w:lvlJc w:val="left"/>
      <w:pPr>
        <w:ind w:left="644" w:hanging="360"/>
      </w:pPr>
      <w:rPr>
        <w:rFonts w:ascii="Noto Sans" w:eastAsia="Noto Sans" w:hAnsi="Noto Sans" w:cs="Noto San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w:eastAsia="Noto Sans" w:hAnsi="Noto Sans" w:cs="Noto Sans"/>
      </w:rPr>
    </w:lvl>
    <w:lvl w:ilvl="3">
      <w:start w:val="1"/>
      <w:numFmt w:val="bullet"/>
      <w:lvlText w:val="●"/>
      <w:lvlJc w:val="left"/>
      <w:pPr>
        <w:ind w:left="2804" w:hanging="360"/>
      </w:pPr>
      <w:rPr>
        <w:rFonts w:ascii="Noto Sans" w:eastAsia="Noto Sans" w:hAnsi="Noto Sans" w:cs="Noto San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w:eastAsia="Noto Sans" w:hAnsi="Noto Sans" w:cs="Noto Sans"/>
      </w:rPr>
    </w:lvl>
    <w:lvl w:ilvl="6">
      <w:start w:val="1"/>
      <w:numFmt w:val="bullet"/>
      <w:lvlText w:val="●"/>
      <w:lvlJc w:val="left"/>
      <w:pPr>
        <w:ind w:left="4964" w:hanging="360"/>
      </w:pPr>
      <w:rPr>
        <w:rFonts w:ascii="Noto Sans" w:eastAsia="Noto Sans" w:hAnsi="Noto Sans" w:cs="Noto San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w:eastAsia="Noto Sans" w:hAnsi="Noto Sans" w:cs="Noto Sans"/>
      </w:rPr>
    </w:lvl>
  </w:abstractNum>
  <w:abstractNum w:abstractNumId="27" w15:restartNumberingAfterBreak="0">
    <w:nsid w:val="528A4C03"/>
    <w:multiLevelType w:val="multilevel"/>
    <w:tmpl w:val="8450567A"/>
    <w:lvl w:ilvl="0">
      <w:start w:val="1"/>
      <w:numFmt w:val="decimal"/>
      <w:lvlText w:val="%1."/>
      <w:lvlJc w:val="left"/>
      <w:pPr>
        <w:tabs>
          <w:tab w:val="num" w:pos="720"/>
        </w:tabs>
        <w:ind w:left="720" w:hanging="720"/>
      </w:pPr>
      <w:rPr>
        <w:vanish/>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4492901"/>
    <w:multiLevelType w:val="multilevel"/>
    <w:tmpl w:val="758E37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E8782E"/>
    <w:multiLevelType w:val="multilevel"/>
    <w:tmpl w:val="BA92F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764992"/>
    <w:multiLevelType w:val="hybridMultilevel"/>
    <w:tmpl w:val="49EE93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5EC16909"/>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4DE5ECB"/>
    <w:multiLevelType w:val="hybridMultilevel"/>
    <w:tmpl w:val="9ED0146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3" w15:restartNumberingAfterBreak="0">
    <w:nsid w:val="68235B9A"/>
    <w:multiLevelType w:val="hybridMultilevel"/>
    <w:tmpl w:val="CD96A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857292"/>
    <w:multiLevelType w:val="hybridMultilevel"/>
    <w:tmpl w:val="1C1CC21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6D1455EC"/>
    <w:multiLevelType w:val="hybridMultilevel"/>
    <w:tmpl w:val="309083F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794639F7"/>
    <w:multiLevelType w:val="multilevel"/>
    <w:tmpl w:val="D974A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3A4F38"/>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AD80D39"/>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E4A425D"/>
    <w:multiLevelType w:val="multilevel"/>
    <w:tmpl w:val="45F4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072694">
    <w:abstractNumId w:val="29"/>
  </w:num>
  <w:num w:numId="2" w16cid:durableId="961231679">
    <w:abstractNumId w:val="7"/>
  </w:num>
  <w:num w:numId="3" w16cid:durableId="1300569506">
    <w:abstractNumId w:val="15"/>
  </w:num>
  <w:num w:numId="4" w16cid:durableId="504395775">
    <w:abstractNumId w:val="39"/>
  </w:num>
  <w:num w:numId="5" w16cid:durableId="478890349">
    <w:abstractNumId w:val="10"/>
  </w:num>
  <w:num w:numId="6" w16cid:durableId="9959591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8178062">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8" w16cid:durableId="2118326452">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9" w16cid:durableId="969242003">
    <w:abstractNumId w:val="3"/>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 w16cid:durableId="1644967351">
    <w:abstractNumId w:val="4"/>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 w16cid:durableId="750003758">
    <w:abstractNumId w:val="5"/>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2" w16cid:durableId="1358851235">
    <w:abstractNumId w:val="9"/>
  </w:num>
  <w:num w:numId="13" w16cid:durableId="2073844189">
    <w:abstractNumId w:val="6"/>
  </w:num>
  <w:num w:numId="14" w16cid:durableId="1426805288">
    <w:abstractNumId w:val="27"/>
  </w:num>
  <w:num w:numId="15" w16cid:durableId="1204172507">
    <w:abstractNumId w:val="37"/>
  </w:num>
  <w:num w:numId="16" w16cid:durableId="1948927759">
    <w:abstractNumId w:val="11"/>
  </w:num>
  <w:num w:numId="17" w16cid:durableId="1037969930">
    <w:abstractNumId w:val="25"/>
  </w:num>
  <w:num w:numId="18" w16cid:durableId="501748014">
    <w:abstractNumId w:val="21"/>
  </w:num>
  <w:num w:numId="19" w16cid:durableId="515996367">
    <w:abstractNumId w:val="8"/>
  </w:num>
  <w:num w:numId="20" w16cid:durableId="1969316080">
    <w:abstractNumId w:val="36"/>
  </w:num>
  <w:num w:numId="21" w16cid:durableId="397754560">
    <w:abstractNumId w:val="16"/>
  </w:num>
  <w:num w:numId="22" w16cid:durableId="1906261136">
    <w:abstractNumId w:val="12"/>
  </w:num>
  <w:num w:numId="23" w16cid:durableId="590896058">
    <w:abstractNumId w:val="28"/>
  </w:num>
  <w:num w:numId="24" w16cid:durableId="1681421358">
    <w:abstractNumId w:val="33"/>
  </w:num>
  <w:num w:numId="25" w16cid:durableId="430391055">
    <w:abstractNumId w:val="30"/>
  </w:num>
  <w:num w:numId="26" w16cid:durableId="242107664">
    <w:abstractNumId w:val="19"/>
  </w:num>
  <w:num w:numId="27" w16cid:durableId="27948551">
    <w:abstractNumId w:val="18"/>
  </w:num>
  <w:num w:numId="28" w16cid:durableId="2131583571">
    <w:abstractNumId w:val="32"/>
  </w:num>
  <w:num w:numId="29" w16cid:durableId="242958618">
    <w:abstractNumId w:val="17"/>
  </w:num>
  <w:num w:numId="30" w16cid:durableId="1097288334">
    <w:abstractNumId w:val="34"/>
  </w:num>
  <w:num w:numId="31" w16cid:durableId="939416032">
    <w:abstractNumId w:val="13"/>
  </w:num>
  <w:num w:numId="32" w16cid:durableId="714160092">
    <w:abstractNumId w:val="20"/>
  </w:num>
  <w:num w:numId="33" w16cid:durableId="565996029">
    <w:abstractNumId w:val="35"/>
  </w:num>
  <w:num w:numId="34" w16cid:durableId="612833910">
    <w:abstractNumId w:val="24"/>
  </w:num>
  <w:num w:numId="35" w16cid:durableId="1389299399">
    <w:abstractNumId w:val="26"/>
  </w:num>
  <w:num w:numId="36" w16cid:durableId="464467472">
    <w:abstractNumId w:val="23"/>
  </w:num>
  <w:num w:numId="37" w16cid:durableId="1779177708">
    <w:abstractNumId w:val="38"/>
  </w:num>
  <w:num w:numId="38" w16cid:durableId="411853775">
    <w:abstractNumId w:val="14"/>
  </w:num>
  <w:num w:numId="39" w16cid:durableId="1372341502">
    <w:abstractNumId w:val="31"/>
  </w:num>
  <w:num w:numId="40" w16cid:durableId="1395664289">
    <w:abstractNumId w:val="22"/>
  </w:num>
  <w:num w:numId="41" w16cid:durableId="2902111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EF"/>
    <w:rsid w:val="00000435"/>
    <w:rsid w:val="000E2D5E"/>
    <w:rsid w:val="00105C81"/>
    <w:rsid w:val="0013327C"/>
    <w:rsid w:val="001608CD"/>
    <w:rsid w:val="001A2889"/>
    <w:rsid w:val="001C7F1D"/>
    <w:rsid w:val="00254505"/>
    <w:rsid w:val="00313B92"/>
    <w:rsid w:val="00337FEF"/>
    <w:rsid w:val="00356926"/>
    <w:rsid w:val="0038502B"/>
    <w:rsid w:val="003C2619"/>
    <w:rsid w:val="003D132A"/>
    <w:rsid w:val="003F77E0"/>
    <w:rsid w:val="00422370"/>
    <w:rsid w:val="00430228"/>
    <w:rsid w:val="004623F9"/>
    <w:rsid w:val="00472518"/>
    <w:rsid w:val="00482558"/>
    <w:rsid w:val="004D10AE"/>
    <w:rsid w:val="005161AB"/>
    <w:rsid w:val="005174AF"/>
    <w:rsid w:val="00596065"/>
    <w:rsid w:val="005D081F"/>
    <w:rsid w:val="005F3FF6"/>
    <w:rsid w:val="006055D0"/>
    <w:rsid w:val="00606CDE"/>
    <w:rsid w:val="0061640E"/>
    <w:rsid w:val="00677519"/>
    <w:rsid w:val="006A2DA7"/>
    <w:rsid w:val="00791F4E"/>
    <w:rsid w:val="007C2F1D"/>
    <w:rsid w:val="007E7411"/>
    <w:rsid w:val="00835015"/>
    <w:rsid w:val="00864692"/>
    <w:rsid w:val="008978E2"/>
    <w:rsid w:val="008A2A5F"/>
    <w:rsid w:val="008C3C4C"/>
    <w:rsid w:val="008F4B71"/>
    <w:rsid w:val="0091116D"/>
    <w:rsid w:val="009132FE"/>
    <w:rsid w:val="00955A80"/>
    <w:rsid w:val="00985840"/>
    <w:rsid w:val="009F08B4"/>
    <w:rsid w:val="00A431BE"/>
    <w:rsid w:val="00A6703C"/>
    <w:rsid w:val="00A80C14"/>
    <w:rsid w:val="00A9607A"/>
    <w:rsid w:val="00B147D1"/>
    <w:rsid w:val="00B3476D"/>
    <w:rsid w:val="00B65E96"/>
    <w:rsid w:val="00B91B83"/>
    <w:rsid w:val="00BA2667"/>
    <w:rsid w:val="00BA4CAF"/>
    <w:rsid w:val="00C1319C"/>
    <w:rsid w:val="00C30C6C"/>
    <w:rsid w:val="00CA7804"/>
    <w:rsid w:val="00CE1111"/>
    <w:rsid w:val="00D81782"/>
    <w:rsid w:val="00DD6BFA"/>
    <w:rsid w:val="00DE540C"/>
    <w:rsid w:val="00E761A3"/>
    <w:rsid w:val="00E852EF"/>
    <w:rsid w:val="00EA531A"/>
    <w:rsid w:val="00EC469E"/>
    <w:rsid w:val="00EF7E1A"/>
    <w:rsid w:val="00F60581"/>
    <w:rsid w:val="00FC4F13"/>
    <w:rsid w:val="00FD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841E8"/>
  <w15:chartTrackingRefBased/>
  <w15:docId w15:val="{FBCDCF99-99E2-4B54-BB0B-5FA8AC34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667"/>
    <w:pPr>
      <w:spacing w:after="0" w:line="360" w:lineRule="auto"/>
      <w:jc w:val="both"/>
    </w:pPr>
    <w:rPr>
      <w:rFonts w:ascii="Calibri" w:eastAsia="Calibri" w:hAnsi="Calibri" w:cs="Calibri"/>
      <w:lang w:val="en-GB" w:eastAsia="en-GB"/>
    </w:rPr>
  </w:style>
  <w:style w:type="paragraph" w:styleId="Heading1">
    <w:name w:val="heading 1"/>
    <w:basedOn w:val="Normal"/>
    <w:next w:val="Normal"/>
    <w:link w:val="Heading1Char"/>
    <w:uiPriority w:val="9"/>
    <w:qFormat/>
    <w:rsid w:val="00BA2667"/>
    <w:pPr>
      <w:numPr>
        <w:numId w:val="18"/>
      </w:numPr>
      <w:spacing w:after="240"/>
      <w:outlineLvl w:val="0"/>
    </w:pPr>
    <w:rPr>
      <w:rFonts w:ascii="Times New Roman" w:eastAsia="Arial" w:hAnsi="Times New Roman" w:cs="Times New Roman"/>
      <w:b/>
      <w:sz w:val="24"/>
      <w:szCs w:val="24"/>
      <w:lang w:eastAsia="en-US"/>
    </w:rPr>
  </w:style>
  <w:style w:type="paragraph" w:styleId="Heading2">
    <w:name w:val="heading 2"/>
    <w:basedOn w:val="Heading1"/>
    <w:next w:val="Normal"/>
    <w:link w:val="Heading2Char"/>
    <w:uiPriority w:val="9"/>
    <w:unhideWhenUsed/>
    <w:qFormat/>
    <w:rsid w:val="00BA2667"/>
    <w:pPr>
      <w:numPr>
        <w:ilvl w:val="1"/>
      </w:numPr>
      <w:spacing w:after="160"/>
      <w:outlineLvl w:val="1"/>
    </w:pPr>
    <w:rPr>
      <w:b w:val="0"/>
      <w:bCs/>
    </w:rPr>
  </w:style>
  <w:style w:type="paragraph" w:styleId="Heading3">
    <w:name w:val="heading 3"/>
    <w:basedOn w:val="Heading2"/>
    <w:link w:val="Heading3Char"/>
    <w:uiPriority w:val="9"/>
    <w:unhideWhenUsed/>
    <w:qFormat/>
    <w:rsid w:val="00BA2667"/>
    <w:pPr>
      <w:numPr>
        <w:ilvl w:val="2"/>
      </w:numPr>
      <w:outlineLvl w:val="2"/>
    </w:pPr>
    <w:rPr>
      <w:i/>
      <w:iCs/>
    </w:rPr>
  </w:style>
  <w:style w:type="paragraph" w:styleId="Heading4">
    <w:name w:val="heading 4"/>
    <w:basedOn w:val="Normal"/>
    <w:next w:val="Normal"/>
    <w:link w:val="Heading4Char"/>
    <w:uiPriority w:val="9"/>
    <w:unhideWhenUsed/>
    <w:qFormat/>
    <w:rsid w:val="00BA2667"/>
    <w:pPr>
      <w:keepNext/>
      <w:keepLines/>
      <w:numPr>
        <w:ilvl w:val="3"/>
        <w:numId w:val="18"/>
      </w:numPr>
      <w:spacing w:after="160"/>
      <w:ind w:left="1138"/>
      <w:outlineLvl w:val="3"/>
    </w:pPr>
    <w:rPr>
      <w:rFonts w:ascii="Times New Roman" w:eastAsiaTheme="majorEastAsia" w:hAnsi="Times New Roman" w:cs="Times New Roman"/>
      <w:i/>
      <w:iCs/>
      <w:sz w:val="24"/>
      <w:szCs w:val="24"/>
    </w:rPr>
  </w:style>
  <w:style w:type="paragraph" w:styleId="Heading5">
    <w:name w:val="heading 5"/>
    <w:basedOn w:val="Normal"/>
    <w:next w:val="Normal"/>
    <w:link w:val="Heading5Char"/>
    <w:uiPriority w:val="9"/>
    <w:unhideWhenUsed/>
    <w:qFormat/>
    <w:rsid w:val="00BA2667"/>
    <w:pPr>
      <w:keepNext/>
      <w:keepLines/>
      <w:numPr>
        <w:ilvl w:val="4"/>
        <w:numId w:val="18"/>
      </w:numPr>
      <w:spacing w:before="40"/>
      <w:outlineLvl w:val="4"/>
    </w:pPr>
    <w:rPr>
      <w:rFonts w:ascii="Times New Roman" w:eastAsiaTheme="majorEastAsia" w:hAnsi="Times New Roman" w:cs="Times New Roman"/>
      <w:u w:val="single"/>
    </w:rPr>
  </w:style>
  <w:style w:type="paragraph" w:styleId="Heading6">
    <w:name w:val="heading 6"/>
    <w:basedOn w:val="Normal"/>
    <w:next w:val="Normal"/>
    <w:link w:val="Heading6Char"/>
    <w:uiPriority w:val="9"/>
    <w:semiHidden/>
    <w:unhideWhenUsed/>
    <w:qFormat/>
    <w:rsid w:val="00BA2667"/>
    <w:pPr>
      <w:keepNext/>
      <w:keepLines/>
      <w:numPr>
        <w:ilvl w:val="5"/>
        <w:numId w:val="18"/>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A2667"/>
    <w:pPr>
      <w:keepNext/>
      <w:keepLines/>
      <w:numPr>
        <w:ilvl w:val="6"/>
        <w:numId w:val="18"/>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A2667"/>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2667"/>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rsid w:val="00BA266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2667"/>
  </w:style>
  <w:style w:type="character" w:customStyle="1" w:styleId="Heading2Char">
    <w:name w:val="Heading 2 Char"/>
    <w:basedOn w:val="DefaultParagraphFont"/>
    <w:link w:val="Heading2"/>
    <w:uiPriority w:val="9"/>
    <w:rsid w:val="00BA2667"/>
    <w:rPr>
      <w:rFonts w:ascii="Times New Roman" w:eastAsia="Arial" w:hAnsi="Times New Roman" w:cs="Times New Roman"/>
      <w:bCs/>
      <w:sz w:val="24"/>
      <w:szCs w:val="24"/>
      <w:lang w:val="en-GB"/>
    </w:rPr>
  </w:style>
  <w:style w:type="character" w:customStyle="1" w:styleId="Heading3Char">
    <w:name w:val="Heading 3 Char"/>
    <w:basedOn w:val="DefaultParagraphFont"/>
    <w:link w:val="Heading3"/>
    <w:uiPriority w:val="9"/>
    <w:rsid w:val="00BA2667"/>
    <w:rPr>
      <w:rFonts w:ascii="Times New Roman" w:eastAsia="Arial" w:hAnsi="Times New Roman" w:cs="Times New Roman"/>
      <w:bCs/>
      <w:i/>
      <w:iCs/>
      <w:sz w:val="24"/>
      <w:szCs w:val="24"/>
      <w:lang w:val="en-GB"/>
    </w:rPr>
  </w:style>
  <w:style w:type="paragraph" w:styleId="NormalWeb">
    <w:name w:val="Normal (Web)"/>
    <w:basedOn w:val="Normal"/>
    <w:uiPriority w:val="99"/>
    <w:unhideWhenUsed/>
    <w:rsid w:val="00BA26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A2667"/>
    <w:rPr>
      <w:rFonts w:ascii="Times New Roman" w:eastAsia="Arial" w:hAnsi="Times New Roman" w:cs="Times New Roman"/>
      <w:b/>
      <w:sz w:val="24"/>
      <w:szCs w:val="24"/>
      <w:lang w:val="en-GB"/>
    </w:rPr>
  </w:style>
  <w:style w:type="character" w:styleId="Emphasis">
    <w:name w:val="Emphasis"/>
    <w:basedOn w:val="DefaultParagraphFont"/>
    <w:uiPriority w:val="20"/>
    <w:qFormat/>
    <w:rsid w:val="00BA2667"/>
    <w:rPr>
      <w:i/>
      <w:iCs/>
    </w:rPr>
  </w:style>
  <w:style w:type="paragraph" w:styleId="ListParagraph">
    <w:name w:val="List Paragraph"/>
    <w:basedOn w:val="Normal"/>
    <w:uiPriority w:val="34"/>
    <w:qFormat/>
    <w:rsid w:val="00BA2667"/>
    <w:pPr>
      <w:ind w:left="720"/>
      <w:contextualSpacing/>
    </w:pPr>
  </w:style>
  <w:style w:type="table" w:customStyle="1" w:styleId="TableGrid">
    <w:name w:val="TableGrid"/>
    <w:rsid w:val="005F3FF6"/>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BA2667"/>
    <w:rPr>
      <w:color w:val="0563C1" w:themeColor="hyperlink"/>
      <w:u w:val="single"/>
    </w:rPr>
  </w:style>
  <w:style w:type="character" w:styleId="UnresolvedMention">
    <w:name w:val="Unresolved Mention"/>
    <w:basedOn w:val="DefaultParagraphFont"/>
    <w:uiPriority w:val="99"/>
    <w:semiHidden/>
    <w:unhideWhenUsed/>
    <w:rsid w:val="00BA2667"/>
    <w:rPr>
      <w:color w:val="605E5C"/>
      <w:shd w:val="clear" w:color="auto" w:fill="E1DFDD"/>
    </w:rPr>
  </w:style>
  <w:style w:type="character" w:customStyle="1" w:styleId="Heading4Char">
    <w:name w:val="Heading 4 Char"/>
    <w:basedOn w:val="DefaultParagraphFont"/>
    <w:link w:val="Heading4"/>
    <w:uiPriority w:val="9"/>
    <w:rsid w:val="00BA2667"/>
    <w:rPr>
      <w:rFonts w:ascii="Times New Roman" w:eastAsiaTheme="majorEastAsia" w:hAnsi="Times New Roman" w:cs="Times New Roman"/>
      <w:i/>
      <w:iCs/>
      <w:sz w:val="24"/>
      <w:szCs w:val="24"/>
      <w:lang w:val="en-GB" w:eastAsia="en-GB"/>
    </w:rPr>
  </w:style>
  <w:style w:type="character" w:customStyle="1" w:styleId="Heading5Char">
    <w:name w:val="Heading 5 Char"/>
    <w:basedOn w:val="DefaultParagraphFont"/>
    <w:link w:val="Heading5"/>
    <w:uiPriority w:val="9"/>
    <w:rsid w:val="00BA2667"/>
    <w:rPr>
      <w:rFonts w:ascii="Times New Roman" w:eastAsiaTheme="majorEastAsia" w:hAnsi="Times New Roman" w:cs="Times New Roman"/>
      <w:u w:val="single"/>
      <w:lang w:val="en-GB" w:eastAsia="en-GB"/>
    </w:rPr>
  </w:style>
  <w:style w:type="character" w:customStyle="1" w:styleId="Heading6Char">
    <w:name w:val="Heading 6 Char"/>
    <w:basedOn w:val="DefaultParagraphFont"/>
    <w:link w:val="Heading6"/>
    <w:uiPriority w:val="9"/>
    <w:semiHidden/>
    <w:rsid w:val="00BA2667"/>
    <w:rPr>
      <w:rFonts w:asciiTheme="majorHAnsi" w:eastAsiaTheme="majorEastAsia" w:hAnsiTheme="majorHAnsi" w:cstheme="majorBidi"/>
      <w:color w:val="1F4D78" w:themeColor="accent1" w:themeShade="7F"/>
      <w:lang w:val="en-GB" w:eastAsia="en-GB"/>
    </w:rPr>
  </w:style>
  <w:style w:type="character" w:customStyle="1" w:styleId="Heading7Char">
    <w:name w:val="Heading 7 Char"/>
    <w:basedOn w:val="DefaultParagraphFont"/>
    <w:link w:val="Heading7"/>
    <w:uiPriority w:val="9"/>
    <w:semiHidden/>
    <w:rsid w:val="00BA2667"/>
    <w:rPr>
      <w:rFonts w:asciiTheme="majorHAnsi" w:eastAsiaTheme="majorEastAsia" w:hAnsiTheme="majorHAnsi" w:cstheme="majorBidi"/>
      <w:i/>
      <w:iCs/>
      <w:color w:val="1F4D78" w:themeColor="accent1" w:themeShade="7F"/>
      <w:lang w:val="en-GB" w:eastAsia="en-GB"/>
    </w:rPr>
  </w:style>
  <w:style w:type="character" w:customStyle="1" w:styleId="Heading8Char">
    <w:name w:val="Heading 8 Char"/>
    <w:basedOn w:val="DefaultParagraphFont"/>
    <w:link w:val="Heading8"/>
    <w:uiPriority w:val="9"/>
    <w:semiHidden/>
    <w:rsid w:val="00BA2667"/>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BA2667"/>
    <w:rPr>
      <w:rFonts w:asciiTheme="majorHAnsi" w:eastAsiaTheme="majorEastAsia" w:hAnsiTheme="majorHAnsi" w:cstheme="majorBidi"/>
      <w:i/>
      <w:iCs/>
      <w:color w:val="272727" w:themeColor="text1" w:themeTint="D8"/>
      <w:sz w:val="21"/>
      <w:szCs w:val="21"/>
      <w:lang w:val="en-GB" w:eastAsia="en-GB"/>
    </w:rPr>
  </w:style>
  <w:style w:type="paragraph" w:styleId="Title">
    <w:name w:val="Title"/>
    <w:basedOn w:val="Normal"/>
    <w:next w:val="Normal"/>
    <w:link w:val="TitleChar"/>
    <w:uiPriority w:val="10"/>
    <w:qFormat/>
    <w:rsid w:val="00BA2667"/>
    <w:pPr>
      <w:keepNext/>
      <w:keepLines/>
      <w:spacing w:before="480" w:after="120"/>
    </w:pPr>
    <w:rPr>
      <w:b/>
      <w:sz w:val="72"/>
      <w:szCs w:val="72"/>
    </w:rPr>
  </w:style>
  <w:style w:type="character" w:customStyle="1" w:styleId="TitleChar">
    <w:name w:val="Title Char"/>
    <w:basedOn w:val="DefaultParagraphFont"/>
    <w:link w:val="Title"/>
    <w:uiPriority w:val="10"/>
    <w:rsid w:val="00BA2667"/>
    <w:rPr>
      <w:rFonts w:ascii="Calibri" w:eastAsia="Calibri" w:hAnsi="Calibri" w:cs="Calibri"/>
      <w:b/>
      <w:sz w:val="72"/>
      <w:szCs w:val="72"/>
      <w:lang w:val="en-GB" w:eastAsia="en-GB"/>
    </w:rPr>
  </w:style>
  <w:style w:type="numbering" w:customStyle="1" w:styleId="NoList1">
    <w:name w:val="No List1"/>
    <w:next w:val="NoList"/>
    <w:uiPriority w:val="99"/>
    <w:semiHidden/>
    <w:unhideWhenUsed/>
    <w:rsid w:val="00BA2667"/>
  </w:style>
  <w:style w:type="table" w:styleId="TableGrid0">
    <w:name w:val="Table Grid"/>
    <w:basedOn w:val="TableNormal"/>
    <w:uiPriority w:val="39"/>
    <w:rsid w:val="00BA2667"/>
    <w:pPr>
      <w:spacing w:after="0" w:line="240" w:lineRule="auto"/>
      <w:jc w:val="both"/>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rsid w:val="00BA2667"/>
    <w:pPr>
      <w:autoSpaceDE w:val="0"/>
      <w:autoSpaceDN w:val="0"/>
      <w:adjustRightInd w:val="0"/>
      <w:spacing w:after="0" w:line="240" w:lineRule="auto"/>
      <w:jc w:val="both"/>
    </w:pPr>
    <w:rPr>
      <w:rFonts w:ascii="Chronicle Text G1" w:eastAsia="Calibri" w:hAnsi="Chronicle Text G1" w:cs="Chronicle Text G1"/>
      <w:color w:val="000000"/>
      <w:sz w:val="24"/>
      <w:szCs w:val="24"/>
      <w:lang w:eastAsia="en-GB"/>
    </w:rPr>
  </w:style>
  <w:style w:type="paragraph" w:styleId="Header">
    <w:name w:val="header"/>
    <w:basedOn w:val="Normal"/>
    <w:link w:val="HeaderChar"/>
    <w:uiPriority w:val="99"/>
    <w:unhideWhenUsed/>
    <w:rsid w:val="00BA2667"/>
    <w:pPr>
      <w:tabs>
        <w:tab w:val="center" w:pos="4680"/>
        <w:tab w:val="right" w:pos="9360"/>
      </w:tabs>
      <w:spacing w:line="240" w:lineRule="auto"/>
    </w:pPr>
  </w:style>
  <w:style w:type="character" w:customStyle="1" w:styleId="HeaderChar">
    <w:name w:val="Header Char"/>
    <w:basedOn w:val="DefaultParagraphFont"/>
    <w:link w:val="Header"/>
    <w:uiPriority w:val="99"/>
    <w:rsid w:val="00BA2667"/>
    <w:rPr>
      <w:rFonts w:ascii="Calibri" w:eastAsia="Calibri" w:hAnsi="Calibri" w:cs="Calibri"/>
      <w:lang w:val="en-GB" w:eastAsia="en-GB"/>
    </w:rPr>
  </w:style>
  <w:style w:type="paragraph" w:styleId="Footer">
    <w:name w:val="footer"/>
    <w:basedOn w:val="Normal"/>
    <w:link w:val="FooterChar"/>
    <w:uiPriority w:val="99"/>
    <w:unhideWhenUsed/>
    <w:rsid w:val="00BA2667"/>
    <w:pPr>
      <w:tabs>
        <w:tab w:val="center" w:pos="4680"/>
        <w:tab w:val="right" w:pos="9360"/>
      </w:tabs>
      <w:spacing w:line="240" w:lineRule="auto"/>
    </w:pPr>
  </w:style>
  <w:style w:type="character" w:customStyle="1" w:styleId="FooterChar">
    <w:name w:val="Footer Char"/>
    <w:basedOn w:val="DefaultParagraphFont"/>
    <w:link w:val="Footer"/>
    <w:uiPriority w:val="99"/>
    <w:rsid w:val="00BA2667"/>
    <w:rPr>
      <w:rFonts w:ascii="Calibri" w:eastAsia="Calibri" w:hAnsi="Calibri" w:cs="Calibri"/>
      <w:lang w:val="en-GB" w:eastAsia="en-GB"/>
    </w:rPr>
  </w:style>
  <w:style w:type="paragraph" w:styleId="TOCHeading">
    <w:name w:val="TOC Heading"/>
    <w:basedOn w:val="Heading1"/>
    <w:next w:val="Normal"/>
    <w:uiPriority w:val="39"/>
    <w:unhideWhenUsed/>
    <w:qFormat/>
    <w:rsid w:val="00BA2667"/>
    <w:pPr>
      <w:outlineLvl w:val="9"/>
    </w:pPr>
  </w:style>
  <w:style w:type="paragraph" w:styleId="TOC1">
    <w:name w:val="toc 1"/>
    <w:basedOn w:val="Normal"/>
    <w:next w:val="Normal"/>
    <w:autoRedefine/>
    <w:uiPriority w:val="39"/>
    <w:unhideWhenUsed/>
    <w:rsid w:val="00BA2667"/>
    <w:pPr>
      <w:tabs>
        <w:tab w:val="left" w:pos="440"/>
        <w:tab w:val="right" w:leader="dot" w:pos="9350"/>
      </w:tabs>
    </w:pPr>
    <w:rPr>
      <w:rFonts w:ascii="Times New Roman" w:hAnsi="Times New Roman"/>
      <w:sz w:val="24"/>
    </w:rPr>
  </w:style>
  <w:style w:type="paragraph" w:styleId="TOC2">
    <w:name w:val="toc 2"/>
    <w:basedOn w:val="Normal"/>
    <w:next w:val="Normal"/>
    <w:autoRedefine/>
    <w:uiPriority w:val="39"/>
    <w:unhideWhenUsed/>
    <w:rsid w:val="00BA2667"/>
    <w:pPr>
      <w:tabs>
        <w:tab w:val="left" w:pos="960"/>
        <w:tab w:val="right" w:leader="dot" w:pos="9350"/>
      </w:tabs>
      <w:ind w:left="216"/>
    </w:pPr>
    <w:rPr>
      <w:rFonts w:ascii="Times New Roman" w:hAnsi="Times New Roman"/>
      <w:sz w:val="24"/>
    </w:rPr>
  </w:style>
  <w:style w:type="character" w:customStyle="1" w:styleId="UnresolvedMention1">
    <w:name w:val="Unresolved Mention1"/>
    <w:basedOn w:val="DefaultParagraphFont"/>
    <w:uiPriority w:val="99"/>
    <w:semiHidden/>
    <w:unhideWhenUsed/>
    <w:rsid w:val="00BA2667"/>
    <w:rPr>
      <w:color w:val="605E5C"/>
      <w:shd w:val="clear" w:color="auto" w:fill="E1DFDD"/>
    </w:rPr>
  </w:style>
  <w:style w:type="paragraph" w:styleId="BalloonText">
    <w:name w:val="Balloon Text"/>
    <w:basedOn w:val="Normal"/>
    <w:link w:val="BalloonTextChar"/>
    <w:uiPriority w:val="99"/>
    <w:semiHidden/>
    <w:unhideWhenUsed/>
    <w:rsid w:val="00BA266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667"/>
    <w:rPr>
      <w:rFonts w:ascii="Segoe UI" w:eastAsia="Calibri" w:hAnsi="Segoe UI" w:cs="Segoe UI"/>
      <w:sz w:val="18"/>
      <w:szCs w:val="18"/>
      <w:lang w:val="en-GB" w:eastAsia="en-GB"/>
    </w:rPr>
  </w:style>
  <w:style w:type="character" w:styleId="CommentReference">
    <w:name w:val="annotation reference"/>
    <w:basedOn w:val="DefaultParagraphFont"/>
    <w:uiPriority w:val="99"/>
    <w:semiHidden/>
    <w:unhideWhenUsed/>
    <w:rsid w:val="00BA2667"/>
    <w:rPr>
      <w:sz w:val="16"/>
      <w:szCs w:val="16"/>
    </w:rPr>
  </w:style>
  <w:style w:type="paragraph" w:styleId="CommentText">
    <w:name w:val="annotation text"/>
    <w:basedOn w:val="Normal"/>
    <w:link w:val="CommentTextChar"/>
    <w:uiPriority w:val="99"/>
    <w:unhideWhenUsed/>
    <w:rsid w:val="00BA2667"/>
    <w:pPr>
      <w:spacing w:after="113" w:line="240" w:lineRule="auto"/>
      <w:ind w:left="10" w:hanging="10"/>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BA2667"/>
    <w:rPr>
      <w:rFonts w:ascii="Times New Roman" w:eastAsia="Times New Roman" w:hAnsi="Times New Roman" w:cs="Times New Roman"/>
      <w:color w:val="000000"/>
      <w:sz w:val="20"/>
      <w:szCs w:val="20"/>
      <w:lang w:val="en-GB" w:eastAsia="en-GB"/>
    </w:rPr>
  </w:style>
  <w:style w:type="paragraph" w:styleId="Caption">
    <w:name w:val="caption"/>
    <w:basedOn w:val="Normal"/>
    <w:next w:val="Normal"/>
    <w:uiPriority w:val="35"/>
    <w:unhideWhenUsed/>
    <w:qFormat/>
    <w:rsid w:val="00BA2667"/>
    <w:pPr>
      <w:spacing w:after="200" w:line="240" w:lineRule="auto"/>
      <w:ind w:left="10" w:hanging="10"/>
    </w:pPr>
    <w:rPr>
      <w:rFonts w:ascii="Times New Roman" w:eastAsia="Times New Roman" w:hAnsi="Times New Roman" w:cs="Times New Roman"/>
      <w:i/>
      <w:iCs/>
      <w:color w:val="44546A" w:themeColor="text2"/>
      <w:sz w:val="18"/>
      <w:szCs w:val="18"/>
    </w:rPr>
  </w:style>
  <w:style w:type="table" w:customStyle="1" w:styleId="PlainTable21">
    <w:name w:val="Plain Table 21"/>
    <w:basedOn w:val="TableNormal"/>
    <w:uiPriority w:val="42"/>
    <w:rsid w:val="00BA2667"/>
    <w:pPr>
      <w:spacing w:after="0" w:line="240" w:lineRule="auto"/>
      <w:jc w:val="both"/>
    </w:pPr>
    <w:rPr>
      <w:rFonts w:ascii="Calibri" w:eastAsia="Calibri" w:hAnsi="Calibri" w:cs="Calibri"/>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group-item">
    <w:name w:val="list-group-item"/>
    <w:basedOn w:val="Normal"/>
    <w:rsid w:val="00BA26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BA2667"/>
  </w:style>
  <w:style w:type="character" w:customStyle="1" w:styleId="gov-d-header-text">
    <w:name w:val="gov-d-header-text"/>
    <w:basedOn w:val="DefaultParagraphFont"/>
    <w:rsid w:val="00BA2667"/>
  </w:style>
  <w:style w:type="paragraph" w:styleId="z-TopofForm">
    <w:name w:val="HTML Top of Form"/>
    <w:basedOn w:val="Normal"/>
    <w:next w:val="Normal"/>
    <w:link w:val="z-TopofFormChar"/>
    <w:hidden/>
    <w:uiPriority w:val="99"/>
    <w:semiHidden/>
    <w:unhideWhenUsed/>
    <w:rsid w:val="00BA2667"/>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A2667"/>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BA2667"/>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A2667"/>
    <w:rPr>
      <w:rFonts w:ascii="Arial" w:eastAsia="Times New Roman" w:hAnsi="Arial" w:cs="Arial"/>
      <w:vanish/>
      <w:sz w:val="16"/>
      <w:szCs w:val="16"/>
      <w:lang w:val="en-GB" w:eastAsia="en-GB"/>
    </w:rPr>
  </w:style>
  <w:style w:type="character" w:customStyle="1" w:styleId="ref-lnk">
    <w:name w:val="ref-lnk"/>
    <w:basedOn w:val="DefaultParagraphFont"/>
    <w:rsid w:val="00BA2667"/>
  </w:style>
  <w:style w:type="paragraph" w:styleId="PlainText">
    <w:name w:val="Plain Text"/>
    <w:basedOn w:val="Normal"/>
    <w:link w:val="PlainTextChar"/>
    <w:uiPriority w:val="99"/>
    <w:unhideWhenUsed/>
    <w:rsid w:val="00BA2667"/>
    <w:pPr>
      <w:spacing w:line="240" w:lineRule="auto"/>
    </w:pPr>
    <w:rPr>
      <w:szCs w:val="21"/>
    </w:rPr>
  </w:style>
  <w:style w:type="character" w:customStyle="1" w:styleId="PlainTextChar">
    <w:name w:val="Plain Text Char"/>
    <w:basedOn w:val="DefaultParagraphFont"/>
    <w:link w:val="PlainText"/>
    <w:uiPriority w:val="99"/>
    <w:rsid w:val="00BA2667"/>
    <w:rPr>
      <w:rFonts w:ascii="Calibri" w:eastAsia="Calibri" w:hAnsi="Calibri" w:cs="Calibri"/>
      <w:szCs w:val="21"/>
      <w:lang w:val="en-GB" w:eastAsia="en-GB"/>
    </w:rPr>
  </w:style>
  <w:style w:type="character" w:styleId="Strong">
    <w:name w:val="Strong"/>
    <w:basedOn w:val="DefaultParagraphFont"/>
    <w:uiPriority w:val="22"/>
    <w:qFormat/>
    <w:rsid w:val="00BA2667"/>
    <w:rPr>
      <w:b/>
      <w:bCs/>
    </w:rPr>
  </w:style>
  <w:style w:type="character" w:customStyle="1" w:styleId="ff4">
    <w:name w:val="ff4"/>
    <w:basedOn w:val="DefaultParagraphFont"/>
    <w:rsid w:val="00BA2667"/>
  </w:style>
  <w:style w:type="character" w:customStyle="1" w:styleId="ws8d">
    <w:name w:val="ws8d"/>
    <w:basedOn w:val="DefaultParagraphFont"/>
    <w:rsid w:val="00BA2667"/>
  </w:style>
  <w:style w:type="character" w:customStyle="1" w:styleId="wsd7">
    <w:name w:val="wsd7"/>
    <w:basedOn w:val="DefaultParagraphFont"/>
    <w:rsid w:val="00BA2667"/>
  </w:style>
  <w:style w:type="character" w:customStyle="1" w:styleId="wsd8">
    <w:name w:val="wsd8"/>
    <w:basedOn w:val="DefaultParagraphFont"/>
    <w:rsid w:val="00BA2667"/>
  </w:style>
  <w:style w:type="character" w:customStyle="1" w:styleId="ff5">
    <w:name w:val="ff5"/>
    <w:basedOn w:val="DefaultParagraphFont"/>
    <w:rsid w:val="00BA2667"/>
  </w:style>
  <w:style w:type="character" w:customStyle="1" w:styleId="ff3">
    <w:name w:val="ff3"/>
    <w:basedOn w:val="DefaultParagraphFont"/>
    <w:rsid w:val="00BA2667"/>
  </w:style>
  <w:style w:type="paragraph" w:customStyle="1" w:styleId="nova-e-listitem">
    <w:name w:val="nova-e-list__item"/>
    <w:basedOn w:val="Normal"/>
    <w:rsid w:val="00BA266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A2667"/>
    <w:pPr>
      <w:spacing w:after="160"/>
      <w:ind w:left="0" w:firstLine="0"/>
      <w:jc w:val="left"/>
    </w:pPr>
    <w:rPr>
      <w:b/>
      <w:bCs/>
    </w:rPr>
  </w:style>
  <w:style w:type="character" w:customStyle="1" w:styleId="CommentSubjectChar">
    <w:name w:val="Comment Subject Char"/>
    <w:basedOn w:val="CommentTextChar"/>
    <w:link w:val="CommentSubject"/>
    <w:uiPriority w:val="99"/>
    <w:semiHidden/>
    <w:rsid w:val="00BA2667"/>
    <w:rPr>
      <w:rFonts w:ascii="Times New Roman" w:eastAsia="Times New Roman" w:hAnsi="Times New Roman" w:cs="Times New Roman"/>
      <w:b/>
      <w:bCs/>
      <w:color w:val="000000"/>
      <w:sz w:val="20"/>
      <w:szCs w:val="20"/>
      <w:lang w:val="en-GB" w:eastAsia="en-GB"/>
    </w:rPr>
  </w:style>
  <w:style w:type="paragraph" w:customStyle="1" w:styleId="Style1">
    <w:name w:val="Style1"/>
    <w:basedOn w:val="Normal"/>
    <w:next w:val="Heading1"/>
    <w:qFormat/>
    <w:rsid w:val="00BA2667"/>
    <w:rPr>
      <w:rFonts w:ascii="Times New Roman" w:hAnsi="Times New Roman" w:cs="Times New Roman"/>
      <w:sz w:val="23"/>
      <w:szCs w:val="23"/>
    </w:rPr>
  </w:style>
  <w:style w:type="paragraph" w:customStyle="1" w:styleId="Style2">
    <w:name w:val="Style2"/>
    <w:basedOn w:val="Heading1"/>
    <w:qFormat/>
    <w:rsid w:val="00BA2667"/>
  </w:style>
  <w:style w:type="character" w:customStyle="1" w:styleId="UnresolvedMention2">
    <w:name w:val="Unresolved Mention2"/>
    <w:basedOn w:val="DefaultParagraphFont"/>
    <w:uiPriority w:val="99"/>
    <w:semiHidden/>
    <w:unhideWhenUsed/>
    <w:rsid w:val="00BA2667"/>
    <w:rPr>
      <w:color w:val="605E5C"/>
      <w:shd w:val="clear" w:color="auto" w:fill="E1DFDD"/>
    </w:rPr>
  </w:style>
  <w:style w:type="paragraph" w:styleId="TOC3">
    <w:name w:val="toc 3"/>
    <w:basedOn w:val="Normal"/>
    <w:next w:val="Normal"/>
    <w:autoRedefine/>
    <w:uiPriority w:val="39"/>
    <w:unhideWhenUsed/>
    <w:rsid w:val="00BA2667"/>
    <w:pPr>
      <w:ind w:left="446"/>
    </w:pPr>
    <w:rPr>
      <w:rFonts w:ascii="Times New Roman" w:hAnsi="Times New Roman"/>
    </w:rPr>
  </w:style>
  <w:style w:type="paragraph" w:styleId="NoSpacing">
    <w:name w:val="No Spacing"/>
    <w:link w:val="NoSpacingChar"/>
    <w:uiPriority w:val="1"/>
    <w:qFormat/>
    <w:rsid w:val="00BA2667"/>
    <w:pPr>
      <w:spacing w:after="0" w:line="240" w:lineRule="auto"/>
      <w:jc w:val="both"/>
    </w:pPr>
    <w:rPr>
      <w:rFonts w:ascii="Calibri" w:eastAsia="Times New Roman" w:hAnsi="Calibri" w:cs="Times New Roman"/>
      <w:lang w:eastAsia="en-GB"/>
    </w:rPr>
  </w:style>
  <w:style w:type="character" w:customStyle="1" w:styleId="NoSpacingChar">
    <w:name w:val="No Spacing Char"/>
    <w:link w:val="NoSpacing"/>
    <w:uiPriority w:val="1"/>
    <w:rsid w:val="00BA2667"/>
    <w:rPr>
      <w:rFonts w:ascii="Calibri" w:eastAsia="Times New Roman" w:hAnsi="Calibri" w:cs="Times New Roman"/>
      <w:lang w:eastAsia="en-GB"/>
    </w:rPr>
  </w:style>
  <w:style w:type="table" w:customStyle="1" w:styleId="GridTable1Light-Accent51">
    <w:name w:val="Grid Table 1 Light - Accent 51"/>
    <w:basedOn w:val="TableNormal"/>
    <w:uiPriority w:val="46"/>
    <w:rsid w:val="00BA2667"/>
    <w:pPr>
      <w:spacing w:after="0" w:line="240" w:lineRule="auto"/>
      <w:jc w:val="both"/>
    </w:pPr>
    <w:rPr>
      <w:rFonts w:ascii="Calibri" w:eastAsia="Calibri" w:hAnsi="Calibri" w:cs="Calibri"/>
      <w:lang w:eastAsia="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Revision">
    <w:name w:val="Revision"/>
    <w:hidden/>
    <w:uiPriority w:val="99"/>
    <w:semiHidden/>
    <w:rsid w:val="00BA2667"/>
    <w:pPr>
      <w:spacing w:after="0" w:line="240" w:lineRule="auto"/>
      <w:jc w:val="both"/>
    </w:pPr>
    <w:rPr>
      <w:rFonts w:ascii="Calibri" w:eastAsia="Calibri" w:hAnsi="Calibri" w:cs="Calibri"/>
      <w:lang w:eastAsia="en-GB"/>
    </w:rPr>
  </w:style>
  <w:style w:type="paragraph" w:customStyle="1" w:styleId="EndNoteBibliographyTitle">
    <w:name w:val="EndNote Bibliography Title"/>
    <w:basedOn w:val="Normal"/>
    <w:link w:val="EndNoteBibliographyTitleChar"/>
    <w:rsid w:val="00BA2667"/>
    <w:pPr>
      <w:jc w:val="center"/>
    </w:pPr>
    <w:rPr>
      <w:noProof/>
    </w:rPr>
  </w:style>
  <w:style w:type="character" w:customStyle="1" w:styleId="EndNoteBibliographyTitleChar">
    <w:name w:val="EndNote Bibliography Title Char"/>
    <w:basedOn w:val="DefaultParagraphFont"/>
    <w:link w:val="EndNoteBibliographyTitle"/>
    <w:rsid w:val="00BA2667"/>
    <w:rPr>
      <w:rFonts w:ascii="Calibri" w:eastAsia="Calibri" w:hAnsi="Calibri" w:cs="Calibri"/>
      <w:noProof/>
      <w:lang w:val="en-GB" w:eastAsia="en-GB"/>
    </w:rPr>
  </w:style>
  <w:style w:type="paragraph" w:customStyle="1" w:styleId="EndNoteBibliography">
    <w:name w:val="EndNote Bibliography"/>
    <w:basedOn w:val="Normal"/>
    <w:link w:val="EndNoteBibliographyChar"/>
    <w:rsid w:val="00BA2667"/>
    <w:pPr>
      <w:spacing w:line="240" w:lineRule="auto"/>
    </w:pPr>
    <w:rPr>
      <w:noProof/>
    </w:rPr>
  </w:style>
  <w:style w:type="character" w:customStyle="1" w:styleId="EndNoteBibliographyChar">
    <w:name w:val="EndNote Bibliography Char"/>
    <w:basedOn w:val="DefaultParagraphFont"/>
    <w:link w:val="EndNoteBibliography"/>
    <w:rsid w:val="00BA2667"/>
    <w:rPr>
      <w:rFonts w:ascii="Calibri" w:eastAsia="Calibri" w:hAnsi="Calibri" w:cs="Calibri"/>
      <w:noProof/>
      <w:lang w:val="en-GB" w:eastAsia="en-GB"/>
    </w:rPr>
  </w:style>
  <w:style w:type="paragraph" w:styleId="ListBullet">
    <w:name w:val="List Bullet"/>
    <w:basedOn w:val="Normal"/>
    <w:uiPriority w:val="99"/>
    <w:unhideWhenUsed/>
    <w:rsid w:val="00BA2667"/>
    <w:pPr>
      <w:numPr>
        <w:numId w:val="5"/>
      </w:numPr>
      <w:contextualSpacing/>
    </w:pPr>
  </w:style>
  <w:style w:type="paragraph" w:styleId="Bibliography">
    <w:name w:val="Bibliography"/>
    <w:basedOn w:val="Normal"/>
    <w:next w:val="Normal"/>
    <w:uiPriority w:val="37"/>
    <w:unhideWhenUsed/>
    <w:rsid w:val="00BA2667"/>
    <w:pPr>
      <w:spacing w:line="480" w:lineRule="auto"/>
      <w:ind w:left="720" w:hanging="720"/>
    </w:pPr>
  </w:style>
  <w:style w:type="character" w:customStyle="1" w:styleId="DefaultCar">
    <w:name w:val="Default Car"/>
    <w:link w:val="Default"/>
    <w:rsid w:val="00BA2667"/>
    <w:rPr>
      <w:rFonts w:ascii="Chronicle Text G1" w:eastAsia="Calibri" w:hAnsi="Chronicle Text G1" w:cs="Chronicle Text G1"/>
      <w:color w:val="000000"/>
      <w:sz w:val="24"/>
      <w:szCs w:val="24"/>
      <w:lang w:eastAsia="en-GB"/>
    </w:rPr>
  </w:style>
  <w:style w:type="character" w:styleId="PlaceholderText">
    <w:name w:val="Placeholder Text"/>
    <w:basedOn w:val="DefaultParagraphFont"/>
    <w:uiPriority w:val="99"/>
    <w:semiHidden/>
    <w:rsid w:val="00BA2667"/>
    <w:rPr>
      <w:color w:val="666666"/>
    </w:rPr>
  </w:style>
  <w:style w:type="paragraph" w:styleId="FootnoteText">
    <w:name w:val="footnote text"/>
    <w:basedOn w:val="Normal"/>
    <w:link w:val="FootnoteTextChar"/>
    <w:unhideWhenUsed/>
    <w:rsid w:val="00BA2667"/>
    <w:pPr>
      <w:spacing w:line="240" w:lineRule="auto"/>
    </w:pPr>
    <w:rPr>
      <w:sz w:val="20"/>
      <w:szCs w:val="20"/>
    </w:rPr>
  </w:style>
  <w:style w:type="character" w:customStyle="1" w:styleId="FootnoteTextChar">
    <w:name w:val="Footnote Text Char"/>
    <w:basedOn w:val="DefaultParagraphFont"/>
    <w:link w:val="FootnoteText"/>
    <w:rsid w:val="00BA2667"/>
    <w:rPr>
      <w:rFonts w:ascii="Calibri" w:eastAsia="Calibri" w:hAnsi="Calibri" w:cs="Calibri"/>
      <w:sz w:val="20"/>
      <w:szCs w:val="20"/>
      <w:lang w:val="en-GB" w:eastAsia="en-GB"/>
    </w:rPr>
  </w:style>
  <w:style w:type="character" w:styleId="FootnoteReference">
    <w:name w:val="footnote reference"/>
    <w:aliases w:val="footnote number Char Char,BVI fnr Char,BVI fnr Car Car Char,BVI fnr Car Char,BVI fnr Car Car Car Car Char Char Char,BVI fnr Car Car Car Car Char Char Char Char Char Char Char,FNRefe Char Char Char Char,BVI fnr Char Char Char Char"/>
    <w:basedOn w:val="DefaultParagraphFont"/>
    <w:uiPriority w:val="99"/>
    <w:unhideWhenUsed/>
    <w:rsid w:val="00BA2667"/>
    <w:rPr>
      <w:vertAlign w:val="superscript"/>
    </w:rPr>
  </w:style>
  <w:style w:type="paragraph" w:styleId="TableofFigures">
    <w:name w:val="table of figures"/>
    <w:basedOn w:val="Normal"/>
    <w:next w:val="Normal"/>
    <w:uiPriority w:val="99"/>
    <w:unhideWhenUsed/>
    <w:rsid w:val="00BA2667"/>
    <w:pPr>
      <w:spacing w:after="120"/>
      <w:ind w:left="446" w:hanging="446"/>
    </w:pPr>
    <w:rPr>
      <w:rFonts w:ascii="Times New Roman" w:hAnsi="Times New Roman" w:cstheme="minorHAnsi"/>
      <w:sz w:val="24"/>
      <w:szCs w:val="20"/>
    </w:rPr>
  </w:style>
  <w:style w:type="paragraph" w:customStyle="1" w:styleId="pf0">
    <w:name w:val="pf0"/>
    <w:basedOn w:val="Normal"/>
    <w:rsid w:val="00BA26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BA2667"/>
    <w:rPr>
      <w:rFonts w:ascii="Segoe UI" w:hAnsi="Segoe UI" w:cs="Segoe UI" w:hint="default"/>
      <w:sz w:val="18"/>
      <w:szCs w:val="18"/>
    </w:rPr>
  </w:style>
  <w:style w:type="character" w:styleId="FollowedHyperlink">
    <w:name w:val="FollowedHyperlink"/>
    <w:basedOn w:val="DefaultParagraphFont"/>
    <w:uiPriority w:val="99"/>
    <w:semiHidden/>
    <w:unhideWhenUsed/>
    <w:rsid w:val="00BA2667"/>
    <w:rPr>
      <w:color w:val="954F72" w:themeColor="followedHyperlink"/>
      <w:u w:val="single"/>
    </w:rPr>
  </w:style>
  <w:style w:type="paragraph" w:styleId="Subtitle">
    <w:name w:val="Subtitle"/>
    <w:basedOn w:val="Normal"/>
    <w:next w:val="Normal"/>
    <w:link w:val="SubtitleChar"/>
    <w:uiPriority w:val="11"/>
    <w:qFormat/>
    <w:rsid w:val="00BA266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A2667"/>
    <w:rPr>
      <w:rFonts w:ascii="Georgia" w:eastAsia="Georgia" w:hAnsi="Georgia" w:cs="Georgia"/>
      <w:i/>
      <w:color w:val="666666"/>
      <w:sz w:val="48"/>
      <w:szCs w:val="48"/>
      <w:lang w:val="en-GB" w:eastAsia="en-GB"/>
    </w:rPr>
  </w:style>
  <w:style w:type="table" w:customStyle="1" w:styleId="a">
    <w:name w:val="a"/>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a0">
    <w:name w:val="a0"/>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a1">
    <w:name w:val="a1"/>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a2">
    <w:name w:val="a2"/>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a3">
    <w:name w:val="a3"/>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a4">
    <w:name w:val="a4"/>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a5">
    <w:name w:val="a5"/>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a6">
    <w:name w:val="a6"/>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a7">
    <w:name w:val="a7"/>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a8">
    <w:name w:val="a8"/>
    <w:basedOn w:val="TableNormal"/>
    <w:rsid w:val="00BA2667"/>
    <w:pPr>
      <w:spacing w:after="0" w:line="240" w:lineRule="auto"/>
      <w:jc w:val="both"/>
    </w:pPr>
    <w:rPr>
      <w:rFonts w:ascii="Calibri" w:eastAsia="Calibri" w:hAnsi="Calibri" w:cs="Calibri"/>
      <w:lang w:val="en-GB" w:eastAsia="en-GB"/>
    </w:rPr>
    <w:tblPr>
      <w:tblStyleRowBandSize w:val="1"/>
      <w:tblStyleColBandSize w:val="1"/>
    </w:tblPr>
  </w:style>
  <w:style w:type="table" w:customStyle="1" w:styleId="a9">
    <w:name w:val="a9"/>
    <w:basedOn w:val="TableNormal"/>
    <w:rsid w:val="00BA2667"/>
    <w:pPr>
      <w:spacing w:after="0" w:line="360" w:lineRule="auto"/>
      <w:jc w:val="both"/>
    </w:pPr>
    <w:rPr>
      <w:rFonts w:ascii="Calibri" w:eastAsia="Calibri" w:hAnsi="Calibri" w:cs="Calibri"/>
      <w:lang w:val="en-GB" w:eastAsia="en-GB"/>
    </w:rPr>
    <w:tblPr>
      <w:tblStyleRowBandSize w:val="1"/>
      <w:tblStyleColBandSize w:val="1"/>
      <w:tblCellMar>
        <w:left w:w="115" w:type="dxa"/>
        <w:right w:w="115" w:type="dxa"/>
      </w:tblCellMar>
    </w:tblPr>
  </w:style>
  <w:style w:type="paragraph" w:styleId="TOC4">
    <w:name w:val="toc 4"/>
    <w:basedOn w:val="Normal"/>
    <w:next w:val="Normal"/>
    <w:autoRedefine/>
    <w:uiPriority w:val="39"/>
    <w:unhideWhenUsed/>
    <w:rsid w:val="00BA2667"/>
    <w:pPr>
      <w:spacing w:after="100"/>
      <w:ind w:left="660"/>
    </w:pPr>
  </w:style>
  <w:style w:type="paragraph" w:styleId="BodyText">
    <w:name w:val="Body Text"/>
    <w:basedOn w:val="Normal"/>
    <w:link w:val="BodyTextChar"/>
    <w:uiPriority w:val="1"/>
    <w:qFormat/>
    <w:rsid w:val="00BA2667"/>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BA2667"/>
    <w:rPr>
      <w:rFonts w:ascii="Times New Roman" w:eastAsia="Times New Roman" w:hAnsi="Times New Roman" w:cs="Times New Roman"/>
      <w:sz w:val="24"/>
      <w:szCs w:val="24"/>
      <w:lang w:val="en-GB"/>
    </w:rPr>
  </w:style>
  <w:style w:type="character" w:customStyle="1" w:styleId="katex-mathml">
    <w:name w:val="katex-mathml"/>
    <w:basedOn w:val="DefaultParagraphFont"/>
    <w:rsid w:val="00BA2667"/>
  </w:style>
  <w:style w:type="character" w:customStyle="1" w:styleId="mord">
    <w:name w:val="mord"/>
    <w:basedOn w:val="DefaultParagraphFont"/>
    <w:rsid w:val="00BA2667"/>
  </w:style>
  <w:style w:type="character" w:customStyle="1" w:styleId="mrel">
    <w:name w:val="mrel"/>
    <w:basedOn w:val="DefaultParagraphFont"/>
    <w:rsid w:val="00BA2667"/>
  </w:style>
  <w:style w:type="character" w:customStyle="1" w:styleId="vlist-s">
    <w:name w:val="vlist-s"/>
    <w:basedOn w:val="DefaultParagraphFont"/>
    <w:rsid w:val="00BA2667"/>
  </w:style>
  <w:style w:type="character" w:styleId="PageNumber">
    <w:name w:val="page number"/>
    <w:basedOn w:val="DefaultParagraphFont"/>
    <w:uiPriority w:val="99"/>
    <w:semiHidden/>
    <w:unhideWhenUsed/>
    <w:rsid w:val="00BA2667"/>
  </w:style>
  <w:style w:type="paragraph" w:customStyle="1" w:styleId="ProposalTitle">
    <w:name w:val="Proposal Title"/>
    <w:basedOn w:val="Normal"/>
    <w:next w:val="Heading1"/>
    <w:rsid w:val="00BA2667"/>
    <w:pPr>
      <w:spacing w:after="360" w:line="480" w:lineRule="auto"/>
      <w:contextualSpacing/>
      <w:jc w:val="center"/>
    </w:pPr>
    <w:rPr>
      <w:rFonts w:ascii="Times New Roman" w:eastAsia="Times New Roman" w:hAnsi="Times New Roman" w:cs="Arial"/>
      <w:b/>
      <w:iCs/>
      <w:caps/>
      <w:sz w:val="32"/>
      <w:szCs w:val="32"/>
      <w:lang w:val="en-ZA" w:eastAsia="en-US"/>
    </w:rPr>
  </w:style>
  <w:style w:type="table" w:customStyle="1" w:styleId="Table">
    <w:name w:val="Table"/>
    <w:semiHidden/>
    <w:unhideWhenUsed/>
    <w:qFormat/>
    <w:rsid w:val="00BA2667"/>
    <w:pPr>
      <w:spacing w:after="200" w:line="240" w:lineRule="auto"/>
      <w:jc w:val="both"/>
    </w:pPr>
    <w:rPr>
      <w:sz w:val="24"/>
      <w:szCs w:val="24"/>
      <w:lang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HTMLPreformatted">
    <w:name w:val="HTML Preformatted"/>
    <w:basedOn w:val="Normal"/>
    <w:link w:val="HTMLPreformattedChar"/>
    <w:uiPriority w:val="99"/>
    <w:semiHidden/>
    <w:unhideWhenUsed/>
    <w:rsid w:val="00BA266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A2667"/>
    <w:rPr>
      <w:rFonts w:ascii="Consolas" w:eastAsia="Calibri" w:hAnsi="Consolas" w:cs="Calibri"/>
      <w:sz w:val="20"/>
      <w:szCs w:val="20"/>
      <w:lang w:val="en-GB" w:eastAsia="en-GB"/>
    </w:rPr>
  </w:style>
  <w:style w:type="character" w:customStyle="1" w:styleId="relative">
    <w:name w:val="relative"/>
    <w:basedOn w:val="DefaultParagraphFont"/>
    <w:rsid w:val="00BA2667"/>
  </w:style>
  <w:style w:type="character" w:customStyle="1" w:styleId="ms-1">
    <w:name w:val="ms-1"/>
    <w:basedOn w:val="DefaultParagraphFont"/>
    <w:rsid w:val="00BA2667"/>
  </w:style>
  <w:style w:type="character" w:customStyle="1" w:styleId="max-w-full">
    <w:name w:val="max-w-full"/>
    <w:basedOn w:val="DefaultParagraphFont"/>
    <w:rsid w:val="00BA2667"/>
  </w:style>
  <w:style w:type="character" w:customStyle="1" w:styleId="-me-1">
    <w:name w:val="-me-1"/>
    <w:basedOn w:val="DefaultParagraphFont"/>
    <w:rsid w:val="00BA2667"/>
  </w:style>
  <w:style w:type="paragraph" w:styleId="TOC5">
    <w:name w:val="toc 5"/>
    <w:basedOn w:val="Normal"/>
    <w:next w:val="Normal"/>
    <w:autoRedefine/>
    <w:uiPriority w:val="39"/>
    <w:unhideWhenUsed/>
    <w:rsid w:val="00BA2667"/>
    <w:pPr>
      <w:spacing w:after="100" w:line="278" w:lineRule="auto"/>
      <w:ind w:left="960"/>
      <w:jc w:val="left"/>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BA2667"/>
    <w:pPr>
      <w:spacing w:after="100" w:line="278" w:lineRule="auto"/>
      <w:ind w:left="1200"/>
      <w:jc w:val="left"/>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BA2667"/>
    <w:pPr>
      <w:spacing w:after="100" w:line="278" w:lineRule="auto"/>
      <w:ind w:left="1440"/>
      <w:jc w:val="left"/>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BA2667"/>
    <w:pPr>
      <w:spacing w:after="100" w:line="278" w:lineRule="auto"/>
      <w:ind w:left="1680"/>
      <w:jc w:val="left"/>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BA2667"/>
    <w:pPr>
      <w:spacing w:after="100" w:line="278" w:lineRule="auto"/>
      <w:ind w:left="1920"/>
      <w:jc w:val="left"/>
    </w:pPr>
    <w:rPr>
      <w:rFonts w:asciiTheme="minorHAnsi" w:eastAsiaTheme="minorEastAsia" w:hAnsiTheme="minorHAnsi" w:cstheme="minorBidi"/>
      <w:kern w:val="2"/>
      <w:sz w:val="24"/>
      <w:szCs w:val="24"/>
      <w14:ligatures w14:val="standardContextual"/>
    </w:rPr>
  </w:style>
  <w:style w:type="paragraph" w:styleId="Quote">
    <w:name w:val="Quote"/>
    <w:basedOn w:val="Normal"/>
    <w:next w:val="Normal"/>
    <w:link w:val="QuoteChar"/>
    <w:autoRedefine/>
    <w:uiPriority w:val="29"/>
    <w:qFormat/>
    <w:rsid w:val="00BA2667"/>
    <w:pPr>
      <w:spacing w:before="100" w:beforeAutospacing="1"/>
      <w:ind w:left="720" w:right="720"/>
    </w:pPr>
    <w:rPr>
      <w:rFonts w:ascii="Times New Roman" w:eastAsia="Arial" w:hAnsi="Times New Roman" w:cs="Times New Roman"/>
      <w:color w:val="000000" w:themeColor="text1"/>
      <w:sz w:val="24"/>
      <w:szCs w:val="24"/>
    </w:rPr>
  </w:style>
  <w:style w:type="character" w:customStyle="1" w:styleId="QuoteChar">
    <w:name w:val="Quote Char"/>
    <w:basedOn w:val="DefaultParagraphFont"/>
    <w:link w:val="Quote"/>
    <w:uiPriority w:val="29"/>
    <w:rsid w:val="00BA2667"/>
    <w:rPr>
      <w:rFonts w:ascii="Times New Roman" w:eastAsia="Arial" w:hAnsi="Times New Roman" w:cs="Times New Roman"/>
      <w:color w:val="000000" w:themeColor="text1"/>
      <w:sz w:val="24"/>
      <w:szCs w:val="24"/>
      <w:lang w:val="en-GB" w:eastAsia="en-GB"/>
    </w:rPr>
  </w:style>
  <w:style w:type="paragraph" w:customStyle="1" w:styleId="FirstParagraph">
    <w:name w:val="First Paragraph"/>
    <w:basedOn w:val="BodyText"/>
    <w:next w:val="BodyText"/>
    <w:qFormat/>
    <w:rsid w:val="00606CDE"/>
    <w:pPr>
      <w:widowControl/>
      <w:autoSpaceDE/>
      <w:autoSpaceDN/>
      <w:spacing w:before="180" w:after="180" w:line="276" w:lineRule="auto"/>
    </w:pPr>
    <w:rPr>
      <w:rFonts w:asciiTheme="minorHAnsi" w:eastAsiaTheme="minorEastAsia" w:hAnsiTheme="minorHAnsi" w:cstheme="minorBidi"/>
      <w:sz w:val="22"/>
      <w:szCs w:val="22"/>
      <w:lang w:val="en-US" w:eastAsia="zh-CN"/>
    </w:rPr>
  </w:style>
  <w:style w:type="paragraph" w:customStyle="1" w:styleId="Compact">
    <w:name w:val="Compact"/>
    <w:basedOn w:val="BodyText"/>
    <w:qFormat/>
    <w:rsid w:val="00606CDE"/>
    <w:pPr>
      <w:widowControl/>
      <w:autoSpaceDE/>
      <w:autoSpaceDN/>
      <w:spacing w:before="36" w:after="36" w:line="276" w:lineRule="auto"/>
    </w:pPr>
    <w:rPr>
      <w:rFonts w:asciiTheme="minorHAnsi" w:eastAsiaTheme="minorEastAsia" w:hAnsiTheme="minorHAnsi" w:cstheme="minorBidi"/>
      <w:sz w:val="18"/>
      <w:szCs w:val="18"/>
      <w:lang w:val="en-US" w:eastAsia="zh-CN"/>
    </w:rPr>
  </w:style>
  <w:style w:type="paragraph" w:styleId="Date">
    <w:name w:val="Date"/>
    <w:basedOn w:val="Title"/>
    <w:next w:val="BodyText"/>
    <w:link w:val="DateChar"/>
    <w:qFormat/>
    <w:rsid w:val="00606CDE"/>
    <w:pPr>
      <w:spacing w:before="0" w:after="80" w:line="240" w:lineRule="auto"/>
      <w:contextualSpacing/>
      <w:jc w:val="center"/>
    </w:pPr>
    <w:rPr>
      <w:rFonts w:asciiTheme="majorHAnsi" w:eastAsiaTheme="majorEastAsia" w:hAnsiTheme="majorHAnsi" w:cstheme="majorBidi"/>
      <w:b w:val="0"/>
      <w:sz w:val="22"/>
      <w:szCs w:val="22"/>
      <w:lang w:val="en-US" w:eastAsia="zh-CN"/>
    </w:rPr>
  </w:style>
  <w:style w:type="character" w:customStyle="1" w:styleId="DateChar">
    <w:name w:val="Date Char"/>
    <w:basedOn w:val="DefaultParagraphFont"/>
    <w:link w:val="Date"/>
    <w:rsid w:val="00606CDE"/>
    <w:rPr>
      <w:rFonts w:asciiTheme="majorHAnsi" w:eastAsiaTheme="majorEastAsia" w:hAnsiTheme="majorHAnsi" w:cstheme="maj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4822">
      <w:bodyDiv w:val="1"/>
      <w:marLeft w:val="0"/>
      <w:marRight w:val="0"/>
      <w:marTop w:val="0"/>
      <w:marBottom w:val="0"/>
      <w:divBdr>
        <w:top w:val="none" w:sz="0" w:space="0" w:color="auto"/>
        <w:left w:val="none" w:sz="0" w:space="0" w:color="auto"/>
        <w:bottom w:val="none" w:sz="0" w:space="0" w:color="auto"/>
        <w:right w:val="none" w:sz="0" w:space="0" w:color="auto"/>
      </w:divBdr>
    </w:div>
    <w:div w:id="169175504">
      <w:bodyDiv w:val="1"/>
      <w:marLeft w:val="0"/>
      <w:marRight w:val="0"/>
      <w:marTop w:val="0"/>
      <w:marBottom w:val="0"/>
      <w:divBdr>
        <w:top w:val="none" w:sz="0" w:space="0" w:color="auto"/>
        <w:left w:val="none" w:sz="0" w:space="0" w:color="auto"/>
        <w:bottom w:val="none" w:sz="0" w:space="0" w:color="auto"/>
        <w:right w:val="none" w:sz="0" w:space="0" w:color="auto"/>
      </w:divBdr>
    </w:div>
    <w:div w:id="175392159">
      <w:bodyDiv w:val="1"/>
      <w:marLeft w:val="0"/>
      <w:marRight w:val="0"/>
      <w:marTop w:val="0"/>
      <w:marBottom w:val="0"/>
      <w:divBdr>
        <w:top w:val="none" w:sz="0" w:space="0" w:color="auto"/>
        <w:left w:val="none" w:sz="0" w:space="0" w:color="auto"/>
        <w:bottom w:val="none" w:sz="0" w:space="0" w:color="auto"/>
        <w:right w:val="none" w:sz="0" w:space="0" w:color="auto"/>
      </w:divBdr>
    </w:div>
    <w:div w:id="226191770">
      <w:bodyDiv w:val="1"/>
      <w:marLeft w:val="0"/>
      <w:marRight w:val="0"/>
      <w:marTop w:val="0"/>
      <w:marBottom w:val="0"/>
      <w:divBdr>
        <w:top w:val="none" w:sz="0" w:space="0" w:color="auto"/>
        <w:left w:val="none" w:sz="0" w:space="0" w:color="auto"/>
        <w:bottom w:val="none" w:sz="0" w:space="0" w:color="auto"/>
        <w:right w:val="none" w:sz="0" w:space="0" w:color="auto"/>
      </w:divBdr>
    </w:div>
    <w:div w:id="717389170">
      <w:bodyDiv w:val="1"/>
      <w:marLeft w:val="0"/>
      <w:marRight w:val="0"/>
      <w:marTop w:val="0"/>
      <w:marBottom w:val="0"/>
      <w:divBdr>
        <w:top w:val="none" w:sz="0" w:space="0" w:color="auto"/>
        <w:left w:val="none" w:sz="0" w:space="0" w:color="auto"/>
        <w:bottom w:val="none" w:sz="0" w:space="0" w:color="auto"/>
        <w:right w:val="none" w:sz="0" w:space="0" w:color="auto"/>
      </w:divBdr>
    </w:div>
    <w:div w:id="728112604">
      <w:bodyDiv w:val="1"/>
      <w:marLeft w:val="0"/>
      <w:marRight w:val="0"/>
      <w:marTop w:val="0"/>
      <w:marBottom w:val="0"/>
      <w:divBdr>
        <w:top w:val="none" w:sz="0" w:space="0" w:color="auto"/>
        <w:left w:val="none" w:sz="0" w:space="0" w:color="auto"/>
        <w:bottom w:val="none" w:sz="0" w:space="0" w:color="auto"/>
        <w:right w:val="none" w:sz="0" w:space="0" w:color="auto"/>
      </w:divBdr>
    </w:div>
    <w:div w:id="918833511">
      <w:bodyDiv w:val="1"/>
      <w:marLeft w:val="0"/>
      <w:marRight w:val="0"/>
      <w:marTop w:val="0"/>
      <w:marBottom w:val="0"/>
      <w:divBdr>
        <w:top w:val="none" w:sz="0" w:space="0" w:color="auto"/>
        <w:left w:val="none" w:sz="0" w:space="0" w:color="auto"/>
        <w:bottom w:val="none" w:sz="0" w:space="0" w:color="auto"/>
        <w:right w:val="none" w:sz="0" w:space="0" w:color="auto"/>
      </w:divBdr>
    </w:div>
    <w:div w:id="959726249">
      <w:bodyDiv w:val="1"/>
      <w:marLeft w:val="0"/>
      <w:marRight w:val="0"/>
      <w:marTop w:val="0"/>
      <w:marBottom w:val="0"/>
      <w:divBdr>
        <w:top w:val="none" w:sz="0" w:space="0" w:color="auto"/>
        <w:left w:val="none" w:sz="0" w:space="0" w:color="auto"/>
        <w:bottom w:val="none" w:sz="0" w:space="0" w:color="auto"/>
        <w:right w:val="none" w:sz="0" w:space="0" w:color="auto"/>
      </w:divBdr>
    </w:div>
    <w:div w:id="1089228567">
      <w:bodyDiv w:val="1"/>
      <w:marLeft w:val="0"/>
      <w:marRight w:val="0"/>
      <w:marTop w:val="0"/>
      <w:marBottom w:val="0"/>
      <w:divBdr>
        <w:top w:val="none" w:sz="0" w:space="0" w:color="auto"/>
        <w:left w:val="none" w:sz="0" w:space="0" w:color="auto"/>
        <w:bottom w:val="none" w:sz="0" w:space="0" w:color="auto"/>
        <w:right w:val="none" w:sz="0" w:space="0" w:color="auto"/>
      </w:divBdr>
    </w:div>
    <w:div w:id="1383096231">
      <w:bodyDiv w:val="1"/>
      <w:marLeft w:val="0"/>
      <w:marRight w:val="0"/>
      <w:marTop w:val="0"/>
      <w:marBottom w:val="0"/>
      <w:divBdr>
        <w:top w:val="none" w:sz="0" w:space="0" w:color="auto"/>
        <w:left w:val="none" w:sz="0" w:space="0" w:color="auto"/>
        <w:bottom w:val="none" w:sz="0" w:space="0" w:color="auto"/>
        <w:right w:val="none" w:sz="0" w:space="0" w:color="auto"/>
      </w:divBdr>
    </w:div>
    <w:div w:id="1465583273">
      <w:bodyDiv w:val="1"/>
      <w:marLeft w:val="0"/>
      <w:marRight w:val="0"/>
      <w:marTop w:val="0"/>
      <w:marBottom w:val="0"/>
      <w:divBdr>
        <w:top w:val="none" w:sz="0" w:space="0" w:color="auto"/>
        <w:left w:val="none" w:sz="0" w:space="0" w:color="auto"/>
        <w:bottom w:val="none" w:sz="0" w:space="0" w:color="auto"/>
        <w:right w:val="none" w:sz="0" w:space="0" w:color="auto"/>
      </w:divBdr>
    </w:div>
    <w:div w:id="1774086603">
      <w:bodyDiv w:val="1"/>
      <w:marLeft w:val="0"/>
      <w:marRight w:val="0"/>
      <w:marTop w:val="0"/>
      <w:marBottom w:val="0"/>
      <w:divBdr>
        <w:top w:val="none" w:sz="0" w:space="0" w:color="auto"/>
        <w:left w:val="none" w:sz="0" w:space="0" w:color="auto"/>
        <w:bottom w:val="none" w:sz="0" w:space="0" w:color="auto"/>
        <w:right w:val="none" w:sz="0" w:space="0" w:color="auto"/>
      </w:divBdr>
    </w:div>
    <w:div w:id="198994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saya\OneDrive\Documenti\TOC%20templates\Laston%20Zungu_MEH_Healthcare%20waste%20management-CleanThesis%2016.06.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10B30-E2D7-4C82-8E77-0FD90D42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Laston Zungu_MEH_Healthcare waste management-CleanThesis 16.06.2025.dotx</Template>
  <TotalTime>0</TotalTime>
  <Pages>51</Pages>
  <Words>16989</Words>
  <Characters>96843</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Yesaya</cp:lastModifiedBy>
  <cp:revision>59</cp:revision>
  <dcterms:created xsi:type="dcterms:W3CDTF">2026-06-18T12:30:00Z</dcterms:created>
  <dcterms:modified xsi:type="dcterms:W3CDTF">2026-06-21T06:37:00Z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d964554c-6df6-47bc-a1c9-87443559698b</vt:lpwstr>
  </property>
  <property fmtid="{D5CDD505-2E9C-101B-9397-08002B2CF9AE}" pid="3" name="ZOTERO_PREF_1">
    <vt:lpwstr>&lt;data data-version="3" zotero-version="9.0.5"&gt;&lt;session id="yOSRCgXv"/&gt;&lt;style id="http://www.zotero.org/styles/nlm-citation-sequence" locale="en-GB" hasBibliography="1" bibliographyStyleHasBeenSet="1"/&gt;&lt;prefs&gt;&lt;pref name="fieldType" value="Field"/&gt;&lt;/prefs&gt;&lt;</vt:lpwstr>
  </property>
  <property fmtid="{D5CDD505-2E9C-101B-9397-08002B2CF9AE}" pid="4" name="ZOTERO_PREF_2">
    <vt:lpwstr>/data&gt;</vt:lpwstr>
  </property>
</Properties>
</file>